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B8B1A" w14:textId="77777777" w:rsidR="00A0449B" w:rsidRDefault="00A0449B" w:rsidP="00A0449B">
      <w:pPr>
        <w:autoSpaceDE w:val="0"/>
        <w:autoSpaceDN w:val="0"/>
        <w:spacing w:after="160" w:line="276" w:lineRule="auto"/>
        <w:contextualSpacing/>
        <w:jc w:val="both"/>
        <w:rPr>
          <w:rFonts w:ascii="Arial" w:hAnsi="Arial" w:cs="Arial"/>
          <w:b/>
          <w:bCs/>
          <w:sz w:val="24"/>
          <w:szCs w:val="24"/>
        </w:rPr>
      </w:pPr>
      <w:bookmarkStart w:id="0" w:name="_GoBack"/>
      <w:bookmarkEnd w:id="0"/>
    </w:p>
    <w:p w14:paraId="204410CE" w14:textId="77777777" w:rsidR="00520447" w:rsidRDefault="00520447" w:rsidP="00A0449B">
      <w:pPr>
        <w:autoSpaceDE w:val="0"/>
        <w:autoSpaceDN w:val="0"/>
        <w:spacing w:after="160" w:line="276" w:lineRule="auto"/>
        <w:contextualSpacing/>
        <w:jc w:val="both"/>
        <w:rPr>
          <w:rFonts w:ascii="Arial" w:hAnsi="Arial" w:cs="Arial"/>
          <w:b/>
          <w:bCs/>
          <w:sz w:val="24"/>
          <w:szCs w:val="24"/>
        </w:rPr>
      </w:pPr>
    </w:p>
    <w:p w14:paraId="6E4576B1" w14:textId="77777777" w:rsidR="00070698" w:rsidRDefault="00070698" w:rsidP="00070698">
      <w:pPr>
        <w:ind w:left="397" w:right="397"/>
        <w:rPr>
          <w:rFonts w:ascii="Arial" w:hAnsi="Arial" w:cs="Arial"/>
          <w:b/>
        </w:rPr>
      </w:pPr>
      <w:r>
        <w:rPr>
          <w:rFonts w:ascii="Arial" w:hAnsi="Arial" w:cs="Arial"/>
          <w:b/>
        </w:rPr>
        <w:t xml:space="preserve">FOR IMMEDIATE RELEASE </w:t>
      </w:r>
    </w:p>
    <w:p w14:paraId="79E7458E" w14:textId="77777777" w:rsidR="00070698" w:rsidRDefault="00070698" w:rsidP="00070698">
      <w:pPr>
        <w:ind w:left="397" w:right="397"/>
        <w:rPr>
          <w:rFonts w:ascii="Arial" w:hAnsi="Arial" w:cs="Arial"/>
          <w:b/>
        </w:rPr>
      </w:pPr>
      <w:r>
        <w:rPr>
          <w:rFonts w:ascii="Arial" w:hAnsi="Arial" w:cs="Arial"/>
          <w:b/>
        </w:rPr>
        <w:t>28 SEPTEMBER 2017</w:t>
      </w:r>
    </w:p>
    <w:p w14:paraId="38645019" w14:textId="77777777" w:rsidR="00070698" w:rsidRDefault="00070698" w:rsidP="00520447">
      <w:pPr>
        <w:ind w:left="397" w:right="397"/>
        <w:jc w:val="center"/>
        <w:rPr>
          <w:rFonts w:ascii="Arial" w:hAnsi="Arial" w:cs="Arial"/>
          <w:b/>
        </w:rPr>
      </w:pPr>
    </w:p>
    <w:p w14:paraId="7B619E21" w14:textId="77777777" w:rsidR="00070698" w:rsidRDefault="00070698" w:rsidP="00520447">
      <w:pPr>
        <w:ind w:left="397" w:right="397"/>
        <w:jc w:val="center"/>
        <w:rPr>
          <w:rFonts w:ascii="Arial" w:hAnsi="Arial" w:cs="Arial"/>
          <w:b/>
        </w:rPr>
      </w:pPr>
    </w:p>
    <w:p w14:paraId="6AFC4A07" w14:textId="77777777" w:rsidR="00520447" w:rsidRPr="00800DEA" w:rsidRDefault="00520447" w:rsidP="00520447">
      <w:pPr>
        <w:ind w:left="397" w:right="397"/>
        <w:jc w:val="center"/>
        <w:rPr>
          <w:rFonts w:ascii="Arial" w:hAnsi="Arial" w:cs="Arial"/>
          <w:b/>
        </w:rPr>
      </w:pPr>
      <w:r w:rsidRPr="00800DEA">
        <w:rPr>
          <w:rFonts w:ascii="Arial" w:hAnsi="Arial" w:cs="Arial"/>
          <w:b/>
          <w:noProof/>
          <w:lang w:eastAsia="en-ZA"/>
        </w:rPr>
        <w:drawing>
          <wp:inline distT="0" distB="0" distL="0" distR="0" wp14:anchorId="10C0335F" wp14:editId="387F7D6F">
            <wp:extent cx="1083945" cy="733425"/>
            <wp:effectExtent l="0" t="0" r="190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7">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6BB0DA10" w14:textId="77777777" w:rsidR="00520447" w:rsidRPr="00800DEA" w:rsidRDefault="00520447" w:rsidP="00520447">
      <w:pPr>
        <w:ind w:left="397" w:right="397"/>
        <w:jc w:val="center"/>
        <w:rPr>
          <w:rFonts w:ascii="Arial" w:hAnsi="Arial" w:cs="Arial"/>
          <w:b/>
        </w:rPr>
      </w:pPr>
    </w:p>
    <w:p w14:paraId="7AAA8AD3" w14:textId="77777777" w:rsidR="00520447" w:rsidRPr="00800DEA" w:rsidRDefault="00520447" w:rsidP="00520447">
      <w:pPr>
        <w:ind w:left="397" w:right="397"/>
        <w:jc w:val="center"/>
        <w:rPr>
          <w:rFonts w:ascii="Arial" w:hAnsi="Arial" w:cs="Arial"/>
          <w:b/>
        </w:rPr>
      </w:pPr>
    </w:p>
    <w:p w14:paraId="7B9CB9F5" w14:textId="77777777" w:rsidR="00520447" w:rsidRPr="00800DEA" w:rsidRDefault="00520447" w:rsidP="00520447">
      <w:pPr>
        <w:ind w:left="397" w:right="397"/>
        <w:jc w:val="center"/>
        <w:rPr>
          <w:rFonts w:ascii="Arial" w:hAnsi="Arial" w:cs="Arial"/>
          <w:b/>
        </w:rPr>
      </w:pPr>
    </w:p>
    <w:p w14:paraId="4696EF34" w14:textId="77777777" w:rsidR="00520447" w:rsidRPr="00800DEA" w:rsidRDefault="00520447" w:rsidP="00520447">
      <w:pPr>
        <w:ind w:left="397" w:right="397"/>
        <w:jc w:val="center"/>
        <w:rPr>
          <w:rFonts w:ascii="Arial" w:hAnsi="Arial" w:cs="Arial"/>
          <w:b/>
        </w:rPr>
      </w:pPr>
      <w:r>
        <w:rPr>
          <w:rFonts w:ascii="Arial" w:hAnsi="Arial" w:cs="Arial"/>
          <w:b/>
        </w:rPr>
        <w:t xml:space="preserve">OUTCOME OF CASES ON </w:t>
      </w:r>
      <w:r w:rsidRPr="00800DEA">
        <w:rPr>
          <w:rFonts w:ascii="Arial" w:hAnsi="Arial" w:cs="Arial"/>
          <w:b/>
        </w:rPr>
        <w:t>TRIB</w:t>
      </w:r>
      <w:r>
        <w:rPr>
          <w:rFonts w:ascii="Arial" w:hAnsi="Arial" w:cs="Arial"/>
          <w:b/>
        </w:rPr>
        <w:t>UN</w:t>
      </w:r>
      <w:r w:rsidR="00070698">
        <w:rPr>
          <w:rFonts w:ascii="Arial" w:hAnsi="Arial" w:cs="Arial"/>
          <w:b/>
        </w:rPr>
        <w:t xml:space="preserve">AL ROLL WEDNESDAY, 27 </w:t>
      </w:r>
      <w:proofErr w:type="gramStart"/>
      <w:r w:rsidR="00070698">
        <w:rPr>
          <w:rFonts w:ascii="Arial" w:hAnsi="Arial" w:cs="Arial"/>
          <w:b/>
        </w:rPr>
        <w:t>SEPTEMBER</w:t>
      </w:r>
      <w:r>
        <w:rPr>
          <w:rFonts w:ascii="Arial" w:hAnsi="Arial" w:cs="Arial"/>
          <w:b/>
        </w:rPr>
        <w:t>,</w:t>
      </w:r>
      <w:proofErr w:type="gramEnd"/>
      <w:r>
        <w:rPr>
          <w:rFonts w:ascii="Arial" w:hAnsi="Arial" w:cs="Arial"/>
          <w:b/>
        </w:rPr>
        <w:t xml:space="preserve"> 2017</w:t>
      </w:r>
    </w:p>
    <w:p w14:paraId="276379D4" w14:textId="77777777" w:rsidR="00520447" w:rsidRPr="00800DEA" w:rsidRDefault="00520447" w:rsidP="00520447">
      <w:pPr>
        <w:ind w:left="397" w:right="397"/>
        <w:jc w:val="both"/>
        <w:rPr>
          <w:rFonts w:ascii="Arial" w:hAnsi="Arial" w:cs="Arial"/>
          <w:b/>
        </w:rPr>
      </w:pPr>
    </w:p>
    <w:p w14:paraId="2E458EFC" w14:textId="77777777" w:rsidR="00520447" w:rsidRPr="00800DEA" w:rsidRDefault="00520447" w:rsidP="00520447">
      <w:pPr>
        <w:ind w:left="397" w:right="397"/>
        <w:jc w:val="both"/>
        <w:rPr>
          <w:rFonts w:ascii="Arial" w:hAnsi="Arial" w:cs="Arial"/>
          <w:b/>
        </w:rPr>
      </w:pPr>
    </w:p>
    <w:p w14:paraId="3D8B32A3" w14:textId="77777777" w:rsidR="00520447" w:rsidRPr="00800DEA" w:rsidRDefault="00520447" w:rsidP="00520447">
      <w:pPr>
        <w:ind w:left="397" w:right="397"/>
        <w:jc w:val="both"/>
        <w:rPr>
          <w:rFonts w:ascii="Arial" w:hAnsi="Arial" w:cs="Arial"/>
        </w:rPr>
      </w:pPr>
    </w:p>
    <w:tbl>
      <w:tblPr>
        <w:tblStyle w:val="TableGrid"/>
        <w:tblW w:w="8079" w:type="dxa"/>
        <w:tblInd w:w="421"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1701"/>
        <w:gridCol w:w="1842"/>
        <w:gridCol w:w="2552"/>
        <w:gridCol w:w="1984"/>
      </w:tblGrid>
      <w:tr w:rsidR="00520447" w:rsidRPr="006E65B8" w14:paraId="4D429E98" w14:textId="77777777" w:rsidTr="0029070E">
        <w:trPr>
          <w:trHeight w:val="972"/>
        </w:trPr>
        <w:tc>
          <w:tcPr>
            <w:tcW w:w="1701" w:type="dxa"/>
            <w:shd w:val="clear" w:color="auto" w:fill="996633"/>
          </w:tcPr>
          <w:p w14:paraId="20226FEF" w14:textId="77777777" w:rsidR="00520447" w:rsidRPr="00800DEA" w:rsidRDefault="00520447" w:rsidP="0029070E">
            <w:pPr>
              <w:ind w:right="397"/>
              <w:rPr>
                <w:rFonts w:ascii="Arial" w:hAnsi="Arial" w:cs="Arial"/>
                <w:color w:val="FFFFFF" w:themeColor="background1"/>
              </w:rPr>
            </w:pPr>
            <w:r w:rsidRPr="00800DEA">
              <w:rPr>
                <w:rFonts w:ascii="Arial" w:hAnsi="Arial" w:cs="Arial"/>
                <w:color w:val="FFFFFF" w:themeColor="background1"/>
              </w:rPr>
              <w:t>Type of matter</w:t>
            </w:r>
          </w:p>
        </w:tc>
        <w:tc>
          <w:tcPr>
            <w:tcW w:w="1842" w:type="dxa"/>
            <w:shd w:val="clear" w:color="auto" w:fill="996633"/>
          </w:tcPr>
          <w:p w14:paraId="642CD9B2" w14:textId="77777777" w:rsidR="00520447" w:rsidRPr="00800DEA" w:rsidRDefault="00520447" w:rsidP="0029070E">
            <w:pPr>
              <w:ind w:right="397"/>
              <w:rPr>
                <w:rFonts w:ascii="Arial" w:hAnsi="Arial" w:cs="Arial"/>
                <w:color w:val="FFFFFF" w:themeColor="background1"/>
              </w:rPr>
            </w:pPr>
            <w:r w:rsidRPr="00800DEA">
              <w:rPr>
                <w:rFonts w:ascii="Arial" w:hAnsi="Arial" w:cs="Arial"/>
                <w:color w:val="FFFFFF" w:themeColor="background1"/>
              </w:rPr>
              <w:t>Parties involved</w:t>
            </w:r>
          </w:p>
        </w:tc>
        <w:tc>
          <w:tcPr>
            <w:tcW w:w="2552" w:type="dxa"/>
            <w:shd w:val="clear" w:color="auto" w:fill="996633"/>
          </w:tcPr>
          <w:p w14:paraId="27A87282" w14:textId="77777777" w:rsidR="00520447" w:rsidRPr="00800DEA" w:rsidRDefault="00520447" w:rsidP="0029070E">
            <w:pPr>
              <w:ind w:right="397"/>
              <w:rPr>
                <w:rFonts w:ascii="Arial" w:hAnsi="Arial" w:cs="Arial"/>
                <w:color w:val="FFFFFF" w:themeColor="background1"/>
              </w:rPr>
            </w:pPr>
            <w:r>
              <w:rPr>
                <w:rFonts w:ascii="Arial" w:hAnsi="Arial" w:cs="Arial"/>
                <w:color w:val="FFFFFF" w:themeColor="background1"/>
              </w:rPr>
              <w:t>Competition Commission</w:t>
            </w:r>
            <w:r w:rsidRPr="00800DEA">
              <w:rPr>
                <w:rFonts w:ascii="Arial" w:hAnsi="Arial" w:cs="Arial"/>
                <w:color w:val="FFFFFF" w:themeColor="background1"/>
              </w:rPr>
              <w:t xml:space="preserve"> recommendation to Tribunal</w:t>
            </w:r>
          </w:p>
        </w:tc>
        <w:tc>
          <w:tcPr>
            <w:tcW w:w="1984" w:type="dxa"/>
            <w:shd w:val="clear" w:color="auto" w:fill="996633"/>
          </w:tcPr>
          <w:p w14:paraId="043DADD6" w14:textId="77777777" w:rsidR="00520447" w:rsidRPr="006E65B8" w:rsidRDefault="00520447" w:rsidP="0029070E">
            <w:pPr>
              <w:ind w:right="397"/>
              <w:rPr>
                <w:rFonts w:ascii="Arial" w:hAnsi="Arial" w:cs="Arial"/>
                <w:color w:val="FFFFFF" w:themeColor="background1"/>
              </w:rPr>
            </w:pPr>
            <w:r>
              <w:rPr>
                <w:rFonts w:ascii="Arial" w:hAnsi="Arial" w:cs="Arial"/>
                <w:color w:val="FFFFFF" w:themeColor="background1"/>
              </w:rPr>
              <w:t>Tribunal decision</w:t>
            </w:r>
          </w:p>
        </w:tc>
      </w:tr>
      <w:tr w:rsidR="00520447" w:rsidRPr="006E65B8" w14:paraId="7C4BBD53" w14:textId="77777777" w:rsidTr="0029070E">
        <w:trPr>
          <w:trHeight w:val="493"/>
        </w:trPr>
        <w:tc>
          <w:tcPr>
            <w:tcW w:w="1701" w:type="dxa"/>
          </w:tcPr>
          <w:p w14:paraId="0FCAFB5F" w14:textId="77777777" w:rsidR="00520447" w:rsidRPr="00800DEA" w:rsidRDefault="00520447" w:rsidP="0029070E">
            <w:pPr>
              <w:ind w:right="397"/>
              <w:jc w:val="both"/>
              <w:rPr>
                <w:rFonts w:ascii="Arial" w:hAnsi="Arial" w:cs="Arial"/>
              </w:rPr>
            </w:pPr>
            <w:r>
              <w:rPr>
                <w:rFonts w:ascii="Arial" w:hAnsi="Arial" w:cs="Arial"/>
              </w:rPr>
              <w:t xml:space="preserve">Large merger </w:t>
            </w:r>
          </w:p>
        </w:tc>
        <w:tc>
          <w:tcPr>
            <w:tcW w:w="1842" w:type="dxa"/>
          </w:tcPr>
          <w:p w14:paraId="791A304B" w14:textId="77777777" w:rsidR="00520447" w:rsidRPr="002C7A03" w:rsidRDefault="00520447" w:rsidP="0029070E">
            <w:pPr>
              <w:ind w:right="397"/>
              <w:jc w:val="both"/>
              <w:rPr>
                <w:rFonts w:ascii="Arial" w:hAnsi="Arial" w:cs="Arial"/>
              </w:rPr>
            </w:pPr>
            <w:r>
              <w:rPr>
                <w:rFonts w:ascii="Arial" w:hAnsi="Arial" w:cs="Arial"/>
              </w:rPr>
              <w:t xml:space="preserve">Coca-Cola Company and Coca-Cola Beverages Africa (Pty) Ltd </w:t>
            </w:r>
          </w:p>
        </w:tc>
        <w:tc>
          <w:tcPr>
            <w:tcW w:w="2552" w:type="dxa"/>
          </w:tcPr>
          <w:p w14:paraId="7CBBA3B4" w14:textId="77777777" w:rsidR="00520447" w:rsidRPr="00800DEA" w:rsidRDefault="00520447" w:rsidP="0029070E">
            <w:pPr>
              <w:ind w:right="397"/>
              <w:jc w:val="both"/>
              <w:rPr>
                <w:rFonts w:ascii="Arial" w:hAnsi="Arial" w:cs="Arial"/>
              </w:rPr>
            </w:pPr>
            <w:r>
              <w:rPr>
                <w:rFonts w:ascii="Arial" w:hAnsi="Arial" w:cs="Arial"/>
              </w:rPr>
              <w:t>Approve with conditions</w:t>
            </w:r>
          </w:p>
        </w:tc>
        <w:tc>
          <w:tcPr>
            <w:tcW w:w="1984" w:type="dxa"/>
          </w:tcPr>
          <w:p w14:paraId="45843756" w14:textId="77777777" w:rsidR="00520447" w:rsidRPr="006E65B8" w:rsidRDefault="00520447" w:rsidP="0029070E">
            <w:pPr>
              <w:ind w:right="397"/>
              <w:jc w:val="both"/>
              <w:rPr>
                <w:rFonts w:ascii="Arial" w:hAnsi="Arial" w:cs="Arial"/>
                <w:color w:val="000000" w:themeColor="text1"/>
              </w:rPr>
            </w:pPr>
            <w:r>
              <w:rPr>
                <w:rFonts w:ascii="Arial" w:hAnsi="Arial" w:cs="Arial"/>
                <w:color w:val="000000" w:themeColor="text1"/>
              </w:rPr>
              <w:t>Approved with conditions</w:t>
            </w:r>
          </w:p>
        </w:tc>
      </w:tr>
      <w:tr w:rsidR="00520447" w:rsidRPr="00800DEA" w14:paraId="4B98E41C" w14:textId="77777777" w:rsidTr="0029070E">
        <w:trPr>
          <w:trHeight w:val="868"/>
        </w:trPr>
        <w:tc>
          <w:tcPr>
            <w:tcW w:w="1701" w:type="dxa"/>
          </w:tcPr>
          <w:p w14:paraId="00AB0641" w14:textId="77777777" w:rsidR="00520447" w:rsidRPr="00800DEA" w:rsidRDefault="00520447" w:rsidP="0029070E">
            <w:pPr>
              <w:ind w:right="397"/>
              <w:jc w:val="both"/>
              <w:rPr>
                <w:rFonts w:ascii="Arial" w:hAnsi="Arial" w:cs="Arial"/>
                <w:color w:val="000000"/>
              </w:rPr>
            </w:pPr>
            <w:r>
              <w:rPr>
                <w:rFonts w:ascii="Arial" w:hAnsi="Arial" w:cs="Arial"/>
                <w:color w:val="000000"/>
              </w:rPr>
              <w:t>Settlement agreement</w:t>
            </w:r>
          </w:p>
        </w:tc>
        <w:tc>
          <w:tcPr>
            <w:tcW w:w="1842" w:type="dxa"/>
          </w:tcPr>
          <w:p w14:paraId="3C1B8AB6" w14:textId="77777777" w:rsidR="00520447" w:rsidRPr="002C7A03" w:rsidRDefault="00520447" w:rsidP="00520447">
            <w:pPr>
              <w:ind w:right="397"/>
              <w:jc w:val="both"/>
              <w:rPr>
                <w:rFonts w:ascii="Arial" w:hAnsi="Arial" w:cs="Arial"/>
                <w:color w:val="000000"/>
              </w:rPr>
            </w:pPr>
            <w:r>
              <w:rPr>
                <w:rFonts w:ascii="Arial" w:hAnsi="Arial" w:cs="Arial"/>
                <w:color w:val="000000"/>
              </w:rPr>
              <w:t xml:space="preserve">Competition Commission and Pride Milling </w:t>
            </w:r>
          </w:p>
        </w:tc>
        <w:tc>
          <w:tcPr>
            <w:tcW w:w="2552" w:type="dxa"/>
          </w:tcPr>
          <w:p w14:paraId="07A52A35" w14:textId="77777777" w:rsidR="00520447" w:rsidRPr="00800DEA" w:rsidRDefault="00520447" w:rsidP="0029070E">
            <w:pPr>
              <w:ind w:right="397"/>
              <w:rPr>
                <w:rFonts w:ascii="Arial" w:hAnsi="Arial" w:cs="Arial"/>
              </w:rPr>
            </w:pPr>
            <w:r>
              <w:rPr>
                <w:rFonts w:ascii="Arial" w:hAnsi="Arial" w:cs="Arial"/>
              </w:rPr>
              <w:t xml:space="preserve">Confirm settlement </w:t>
            </w:r>
          </w:p>
        </w:tc>
        <w:tc>
          <w:tcPr>
            <w:tcW w:w="1984" w:type="dxa"/>
          </w:tcPr>
          <w:p w14:paraId="6650FA22" w14:textId="77777777" w:rsidR="00520447" w:rsidRPr="00800DEA" w:rsidRDefault="00520447" w:rsidP="0029070E">
            <w:pPr>
              <w:ind w:right="397"/>
              <w:rPr>
                <w:rFonts w:ascii="Arial" w:hAnsi="Arial" w:cs="Arial"/>
              </w:rPr>
            </w:pPr>
            <w:r>
              <w:rPr>
                <w:rFonts w:ascii="Arial" w:hAnsi="Arial" w:cs="Arial"/>
              </w:rPr>
              <w:t xml:space="preserve">Confirmed settlement </w:t>
            </w:r>
          </w:p>
        </w:tc>
      </w:tr>
      <w:tr w:rsidR="00520447" w:rsidRPr="00800DEA" w14:paraId="4E56E883" w14:textId="77777777" w:rsidTr="0029070E">
        <w:trPr>
          <w:trHeight w:val="556"/>
        </w:trPr>
        <w:tc>
          <w:tcPr>
            <w:tcW w:w="1701" w:type="dxa"/>
          </w:tcPr>
          <w:p w14:paraId="4373E661" w14:textId="77777777" w:rsidR="00520447" w:rsidRPr="00800DEA" w:rsidRDefault="00520447" w:rsidP="0029070E">
            <w:pPr>
              <w:ind w:right="397"/>
              <w:jc w:val="both"/>
              <w:rPr>
                <w:rFonts w:ascii="Arial" w:hAnsi="Arial" w:cs="Arial"/>
                <w:color w:val="000000"/>
              </w:rPr>
            </w:pPr>
            <w:r w:rsidRPr="00800DEA">
              <w:rPr>
                <w:rFonts w:ascii="Arial" w:hAnsi="Arial" w:cs="Arial"/>
                <w:color w:val="000000"/>
              </w:rPr>
              <w:t xml:space="preserve">Large merger </w:t>
            </w:r>
          </w:p>
        </w:tc>
        <w:tc>
          <w:tcPr>
            <w:tcW w:w="1842" w:type="dxa"/>
          </w:tcPr>
          <w:p w14:paraId="5059F9C5" w14:textId="77777777" w:rsidR="00520447" w:rsidRPr="002C7A03" w:rsidRDefault="00520447" w:rsidP="0029070E">
            <w:pPr>
              <w:ind w:right="397"/>
              <w:jc w:val="both"/>
              <w:rPr>
                <w:rFonts w:ascii="Arial" w:hAnsi="Arial" w:cs="Arial"/>
                <w:color w:val="000000"/>
              </w:rPr>
            </w:pPr>
            <w:r>
              <w:rPr>
                <w:rFonts w:ascii="Arial" w:hAnsi="Arial" w:cs="Arial"/>
                <w:color w:val="000000"/>
              </w:rPr>
              <w:t>Steinhoff Doors and Building Materials (Pty) Ltd and Building Supply Group (Pty) Ltd</w:t>
            </w:r>
          </w:p>
        </w:tc>
        <w:tc>
          <w:tcPr>
            <w:tcW w:w="2552" w:type="dxa"/>
          </w:tcPr>
          <w:p w14:paraId="26CFCEF0" w14:textId="77777777" w:rsidR="00520447" w:rsidRPr="00800DEA" w:rsidRDefault="00520447" w:rsidP="0029070E">
            <w:pPr>
              <w:ind w:right="397"/>
              <w:rPr>
                <w:rFonts w:ascii="Arial" w:hAnsi="Arial" w:cs="Arial"/>
              </w:rPr>
            </w:pPr>
            <w:r>
              <w:rPr>
                <w:rFonts w:ascii="Arial" w:hAnsi="Arial" w:cs="Arial"/>
              </w:rPr>
              <w:t>Approve with conditions</w:t>
            </w:r>
          </w:p>
        </w:tc>
        <w:tc>
          <w:tcPr>
            <w:tcW w:w="1984" w:type="dxa"/>
          </w:tcPr>
          <w:p w14:paraId="0D4294E6" w14:textId="77777777" w:rsidR="00520447" w:rsidRDefault="00520447" w:rsidP="0029070E">
            <w:pPr>
              <w:ind w:right="397"/>
              <w:rPr>
                <w:rFonts w:ascii="Arial" w:hAnsi="Arial" w:cs="Arial"/>
              </w:rPr>
            </w:pPr>
            <w:r>
              <w:rPr>
                <w:rFonts w:ascii="Arial" w:hAnsi="Arial" w:cs="Arial"/>
              </w:rPr>
              <w:t xml:space="preserve">Approved with conditions </w:t>
            </w:r>
          </w:p>
        </w:tc>
      </w:tr>
      <w:tr w:rsidR="00520447" w:rsidRPr="00800DEA" w14:paraId="7C9D3654" w14:textId="77777777" w:rsidTr="0029070E">
        <w:trPr>
          <w:trHeight w:val="556"/>
        </w:trPr>
        <w:tc>
          <w:tcPr>
            <w:tcW w:w="1701" w:type="dxa"/>
          </w:tcPr>
          <w:p w14:paraId="7722C2D4" w14:textId="77777777" w:rsidR="00520447" w:rsidRPr="00800DEA" w:rsidRDefault="00520447" w:rsidP="0029070E">
            <w:pPr>
              <w:ind w:right="397"/>
              <w:jc w:val="both"/>
              <w:rPr>
                <w:rFonts w:ascii="Arial" w:hAnsi="Arial" w:cs="Arial"/>
                <w:color w:val="000000"/>
              </w:rPr>
            </w:pPr>
            <w:r>
              <w:rPr>
                <w:rFonts w:ascii="Arial" w:hAnsi="Arial" w:cs="Arial"/>
                <w:color w:val="000000"/>
              </w:rPr>
              <w:t>Large merger</w:t>
            </w:r>
          </w:p>
        </w:tc>
        <w:tc>
          <w:tcPr>
            <w:tcW w:w="1842" w:type="dxa"/>
          </w:tcPr>
          <w:p w14:paraId="0B9925AC" w14:textId="77777777" w:rsidR="00520447" w:rsidRDefault="00520447" w:rsidP="0029070E">
            <w:pPr>
              <w:ind w:right="397"/>
              <w:jc w:val="both"/>
              <w:rPr>
                <w:rFonts w:ascii="Arial" w:hAnsi="Arial" w:cs="Arial"/>
                <w:color w:val="000000"/>
              </w:rPr>
            </w:pPr>
            <w:proofErr w:type="spellStart"/>
            <w:r>
              <w:rPr>
                <w:rFonts w:ascii="Arial" w:hAnsi="Arial" w:cs="Arial"/>
                <w:color w:val="000000"/>
              </w:rPr>
              <w:t>Indluplace</w:t>
            </w:r>
            <w:proofErr w:type="spellEnd"/>
            <w:r>
              <w:rPr>
                <w:rFonts w:ascii="Arial" w:hAnsi="Arial" w:cs="Arial"/>
                <w:color w:val="000000"/>
              </w:rPr>
              <w:t xml:space="preserve"> Properties Limited and </w:t>
            </w:r>
            <w:proofErr w:type="spellStart"/>
            <w:r>
              <w:rPr>
                <w:rFonts w:ascii="Arial" w:hAnsi="Arial" w:cs="Arial"/>
                <w:color w:val="000000"/>
              </w:rPr>
              <w:t>Malewell</w:t>
            </w:r>
            <w:proofErr w:type="spellEnd"/>
            <w:r>
              <w:rPr>
                <w:rFonts w:ascii="Arial" w:hAnsi="Arial" w:cs="Arial"/>
                <w:color w:val="000000"/>
              </w:rPr>
              <w:t xml:space="preserve"> Investments (Pty)Ltd and </w:t>
            </w:r>
            <w:proofErr w:type="spellStart"/>
            <w:r>
              <w:rPr>
                <w:rFonts w:ascii="Arial" w:hAnsi="Arial" w:cs="Arial"/>
                <w:color w:val="000000"/>
              </w:rPr>
              <w:t>Buffshelf</w:t>
            </w:r>
            <w:proofErr w:type="spellEnd"/>
            <w:r>
              <w:rPr>
                <w:rFonts w:ascii="Arial" w:hAnsi="Arial" w:cs="Arial"/>
                <w:color w:val="000000"/>
              </w:rPr>
              <w:t xml:space="preserve"> Group </w:t>
            </w:r>
          </w:p>
        </w:tc>
        <w:tc>
          <w:tcPr>
            <w:tcW w:w="2552" w:type="dxa"/>
          </w:tcPr>
          <w:p w14:paraId="0D46E545" w14:textId="77777777" w:rsidR="00520447" w:rsidRDefault="00B427E4" w:rsidP="0029070E">
            <w:pPr>
              <w:ind w:right="397"/>
              <w:rPr>
                <w:rFonts w:ascii="Arial" w:hAnsi="Arial" w:cs="Arial"/>
              </w:rPr>
            </w:pPr>
            <w:r>
              <w:rPr>
                <w:rFonts w:ascii="Arial" w:hAnsi="Arial" w:cs="Arial"/>
              </w:rPr>
              <w:t>Approve</w:t>
            </w:r>
            <w:r w:rsidR="00520447">
              <w:rPr>
                <w:rFonts w:ascii="Arial" w:hAnsi="Arial" w:cs="Arial"/>
              </w:rPr>
              <w:t xml:space="preserve"> without conditions </w:t>
            </w:r>
          </w:p>
        </w:tc>
        <w:tc>
          <w:tcPr>
            <w:tcW w:w="1984" w:type="dxa"/>
          </w:tcPr>
          <w:p w14:paraId="73D63ADD" w14:textId="77777777" w:rsidR="00520447" w:rsidRDefault="00520447" w:rsidP="0029070E">
            <w:pPr>
              <w:ind w:right="397"/>
              <w:rPr>
                <w:rFonts w:ascii="Arial" w:hAnsi="Arial" w:cs="Arial"/>
              </w:rPr>
            </w:pPr>
            <w:r>
              <w:rPr>
                <w:rFonts w:ascii="Arial" w:hAnsi="Arial" w:cs="Arial"/>
              </w:rPr>
              <w:t>Approved without conditions</w:t>
            </w:r>
          </w:p>
        </w:tc>
      </w:tr>
      <w:tr w:rsidR="00520447" w:rsidRPr="00800DEA" w14:paraId="75892F00" w14:textId="77777777" w:rsidTr="0029070E">
        <w:trPr>
          <w:trHeight w:val="556"/>
        </w:trPr>
        <w:tc>
          <w:tcPr>
            <w:tcW w:w="1701" w:type="dxa"/>
          </w:tcPr>
          <w:p w14:paraId="363A3312" w14:textId="77777777" w:rsidR="00520447" w:rsidRDefault="00520447" w:rsidP="0029070E">
            <w:pPr>
              <w:ind w:right="397"/>
              <w:jc w:val="both"/>
              <w:rPr>
                <w:rFonts w:ascii="Arial" w:hAnsi="Arial" w:cs="Arial"/>
                <w:color w:val="000000"/>
              </w:rPr>
            </w:pPr>
            <w:r>
              <w:rPr>
                <w:rFonts w:ascii="Arial" w:hAnsi="Arial" w:cs="Arial"/>
                <w:color w:val="000000"/>
              </w:rPr>
              <w:t xml:space="preserve">Exception Application </w:t>
            </w:r>
          </w:p>
        </w:tc>
        <w:tc>
          <w:tcPr>
            <w:tcW w:w="1842" w:type="dxa"/>
          </w:tcPr>
          <w:p w14:paraId="71C60B6F" w14:textId="77777777" w:rsidR="00520447" w:rsidRDefault="00520447" w:rsidP="0029070E">
            <w:pPr>
              <w:ind w:right="397"/>
              <w:jc w:val="both"/>
              <w:rPr>
                <w:rFonts w:ascii="Arial" w:hAnsi="Arial" w:cs="Arial"/>
                <w:color w:val="000000"/>
              </w:rPr>
            </w:pPr>
            <w:r>
              <w:rPr>
                <w:rFonts w:ascii="Arial" w:hAnsi="Arial" w:cs="Arial"/>
                <w:color w:val="000000"/>
              </w:rPr>
              <w:t xml:space="preserve">Unilever South Africa (Pty) Ltd and </w:t>
            </w:r>
            <w:r>
              <w:rPr>
                <w:rFonts w:ascii="Arial" w:hAnsi="Arial" w:cs="Arial"/>
                <w:color w:val="000000"/>
              </w:rPr>
              <w:lastRenderedPageBreak/>
              <w:t>Competition Commission</w:t>
            </w:r>
          </w:p>
        </w:tc>
        <w:tc>
          <w:tcPr>
            <w:tcW w:w="2552" w:type="dxa"/>
          </w:tcPr>
          <w:p w14:paraId="55B18F9E" w14:textId="77777777" w:rsidR="00520447" w:rsidRDefault="00520447" w:rsidP="0029070E">
            <w:pPr>
              <w:ind w:right="397"/>
              <w:rPr>
                <w:rFonts w:ascii="Arial" w:hAnsi="Arial" w:cs="Arial"/>
              </w:rPr>
            </w:pPr>
          </w:p>
        </w:tc>
        <w:tc>
          <w:tcPr>
            <w:tcW w:w="1984" w:type="dxa"/>
          </w:tcPr>
          <w:p w14:paraId="17DF88A0" w14:textId="77777777" w:rsidR="00520447" w:rsidRDefault="00F35355" w:rsidP="0029070E">
            <w:pPr>
              <w:ind w:right="397"/>
              <w:rPr>
                <w:rFonts w:ascii="Arial" w:hAnsi="Arial" w:cs="Arial"/>
              </w:rPr>
            </w:pPr>
            <w:r>
              <w:rPr>
                <w:rFonts w:ascii="Arial" w:hAnsi="Arial" w:cs="Arial"/>
              </w:rPr>
              <w:t xml:space="preserve">Tribunal still considering </w:t>
            </w:r>
            <w:r>
              <w:rPr>
                <w:rFonts w:ascii="Arial" w:hAnsi="Arial" w:cs="Arial"/>
              </w:rPr>
              <w:lastRenderedPageBreak/>
              <w:t xml:space="preserve">the application </w:t>
            </w:r>
          </w:p>
        </w:tc>
      </w:tr>
    </w:tbl>
    <w:p w14:paraId="2ADCFAC7" w14:textId="77777777" w:rsidR="00520447" w:rsidRPr="00800DEA" w:rsidRDefault="00520447" w:rsidP="00154BED">
      <w:pPr>
        <w:ind w:left="510" w:right="624"/>
        <w:jc w:val="both"/>
        <w:rPr>
          <w:rFonts w:ascii="Arial" w:eastAsia="Calibri" w:hAnsi="Arial" w:cs="Arial"/>
          <w:b/>
        </w:rPr>
      </w:pPr>
    </w:p>
    <w:p w14:paraId="7A8D6DCB" w14:textId="77777777" w:rsidR="00C959EE" w:rsidRPr="00982076" w:rsidRDefault="00C959EE" w:rsidP="00154BED">
      <w:pPr>
        <w:tabs>
          <w:tab w:val="left" w:pos="1725"/>
        </w:tabs>
        <w:ind w:left="510" w:right="624"/>
        <w:jc w:val="both"/>
        <w:rPr>
          <w:rFonts w:asciiTheme="minorHAnsi" w:hAnsiTheme="minorHAnsi" w:cs="Arial"/>
          <w:b/>
          <w:sz w:val="24"/>
          <w:szCs w:val="24"/>
        </w:rPr>
      </w:pPr>
      <w:r w:rsidRPr="00982076">
        <w:rPr>
          <w:rFonts w:asciiTheme="minorHAnsi" w:hAnsiTheme="minorHAnsi" w:cs="Arial"/>
          <w:b/>
          <w:sz w:val="24"/>
          <w:szCs w:val="24"/>
        </w:rPr>
        <w:t xml:space="preserve">Tribunal </w:t>
      </w:r>
      <w:r w:rsidR="00982076">
        <w:rPr>
          <w:rFonts w:asciiTheme="minorHAnsi" w:hAnsiTheme="minorHAnsi" w:cs="Arial"/>
          <w:b/>
          <w:sz w:val="24"/>
          <w:szCs w:val="24"/>
        </w:rPr>
        <w:t xml:space="preserve">has </w:t>
      </w:r>
      <w:r w:rsidR="00F35355">
        <w:rPr>
          <w:rFonts w:asciiTheme="minorHAnsi" w:hAnsiTheme="minorHAnsi" w:cs="Arial"/>
          <w:b/>
          <w:sz w:val="24"/>
          <w:szCs w:val="24"/>
        </w:rPr>
        <w:t xml:space="preserve">approved </w:t>
      </w:r>
      <w:r w:rsidRPr="00982076">
        <w:rPr>
          <w:rFonts w:asciiTheme="minorHAnsi" w:hAnsiTheme="minorHAnsi" w:cs="Arial"/>
          <w:b/>
          <w:sz w:val="24"/>
          <w:szCs w:val="24"/>
        </w:rPr>
        <w:t>with conditions a merger whereby</w:t>
      </w:r>
      <w:r w:rsidRPr="00982076">
        <w:rPr>
          <w:rFonts w:asciiTheme="minorHAnsi" w:hAnsiTheme="minorHAnsi" w:cs="Arial"/>
          <w:sz w:val="24"/>
          <w:szCs w:val="24"/>
        </w:rPr>
        <w:t xml:space="preserve"> </w:t>
      </w:r>
      <w:r w:rsidRPr="00982076">
        <w:rPr>
          <w:rFonts w:asciiTheme="minorHAnsi" w:hAnsiTheme="minorHAnsi" w:cs="Arial"/>
          <w:b/>
          <w:sz w:val="24"/>
          <w:szCs w:val="24"/>
        </w:rPr>
        <w:t xml:space="preserve">Coca-Cola company buy </w:t>
      </w:r>
      <w:r w:rsidR="00F35355">
        <w:rPr>
          <w:rFonts w:asciiTheme="minorHAnsi" w:hAnsiTheme="minorHAnsi" w:cs="Arial"/>
          <w:b/>
          <w:sz w:val="24"/>
          <w:szCs w:val="24"/>
        </w:rPr>
        <w:t xml:space="preserve">from </w:t>
      </w:r>
      <w:r w:rsidRPr="00982076">
        <w:rPr>
          <w:rFonts w:asciiTheme="minorHAnsi" w:hAnsiTheme="minorHAnsi" w:cs="Arial"/>
          <w:b/>
          <w:sz w:val="24"/>
          <w:szCs w:val="24"/>
        </w:rPr>
        <w:t>SABMiller</w:t>
      </w:r>
      <w:r w:rsidR="00F35355">
        <w:rPr>
          <w:rFonts w:asciiTheme="minorHAnsi" w:hAnsiTheme="minorHAnsi" w:cs="Arial"/>
          <w:b/>
          <w:sz w:val="24"/>
          <w:szCs w:val="24"/>
        </w:rPr>
        <w:t xml:space="preserve"> shares</w:t>
      </w:r>
      <w:r w:rsidRPr="00982076">
        <w:rPr>
          <w:rFonts w:asciiTheme="minorHAnsi" w:hAnsiTheme="minorHAnsi" w:cs="Arial"/>
          <w:b/>
          <w:sz w:val="24"/>
          <w:szCs w:val="24"/>
        </w:rPr>
        <w:t xml:space="preserve"> held in Coca Cola Beverage Africa</w:t>
      </w:r>
    </w:p>
    <w:p w14:paraId="1EBA0C38" w14:textId="77777777" w:rsidR="00C959EE" w:rsidRPr="00C16BE2" w:rsidRDefault="00C959EE" w:rsidP="00154BED">
      <w:pPr>
        <w:tabs>
          <w:tab w:val="left" w:pos="1725"/>
        </w:tabs>
        <w:ind w:left="510" w:right="624"/>
        <w:jc w:val="both"/>
        <w:rPr>
          <w:rFonts w:asciiTheme="minorHAnsi" w:hAnsiTheme="minorHAnsi" w:cs="Arial"/>
          <w:b/>
          <w:sz w:val="24"/>
          <w:szCs w:val="24"/>
        </w:rPr>
      </w:pPr>
      <w:r w:rsidRPr="00C16BE2">
        <w:rPr>
          <w:rFonts w:asciiTheme="minorHAnsi" w:hAnsiTheme="minorHAnsi"/>
          <w:sz w:val="24"/>
          <w:szCs w:val="24"/>
        </w:rPr>
        <w:t> </w:t>
      </w:r>
    </w:p>
    <w:p w14:paraId="62738367" w14:textId="77777777" w:rsidR="00C959EE" w:rsidRPr="00C16BE2" w:rsidRDefault="00C959EE" w:rsidP="00154BED">
      <w:pPr>
        <w:spacing w:after="200"/>
        <w:ind w:left="510" w:right="624"/>
        <w:rPr>
          <w:rFonts w:asciiTheme="minorHAnsi" w:hAnsiTheme="minorHAnsi"/>
          <w:sz w:val="24"/>
          <w:szCs w:val="24"/>
        </w:rPr>
      </w:pPr>
      <w:r w:rsidRPr="00C16BE2">
        <w:rPr>
          <w:rFonts w:asciiTheme="minorHAnsi" w:hAnsiTheme="minorHAnsi"/>
          <w:sz w:val="24"/>
          <w:szCs w:val="24"/>
        </w:rPr>
        <w:t>T</w:t>
      </w:r>
      <w:r w:rsidRPr="00C16BE2">
        <w:rPr>
          <w:rFonts w:asciiTheme="minorHAnsi" w:hAnsiTheme="minorHAnsi" w:cs="Arial"/>
          <w:sz w:val="24"/>
          <w:szCs w:val="24"/>
        </w:rPr>
        <w:t>he Coca-Cola company (“TCCC”) is to buy shares owned by SABMiller in Coca Cola beverage Africa (“CCBA”) an entity established through a merger of independent bottlers.</w:t>
      </w:r>
      <w:r w:rsidR="00982076">
        <w:rPr>
          <w:rFonts w:asciiTheme="minorHAnsi" w:hAnsiTheme="minorHAnsi" w:cs="Arial"/>
          <w:sz w:val="24"/>
          <w:szCs w:val="24"/>
        </w:rPr>
        <w:t xml:space="preserve"> The Tribunal on Wednesday approved the merger. </w:t>
      </w:r>
      <w:r w:rsidRPr="00C16BE2">
        <w:rPr>
          <w:rFonts w:asciiTheme="minorHAnsi" w:hAnsiTheme="minorHAnsi" w:cs="Arial"/>
          <w:sz w:val="24"/>
          <w:szCs w:val="24"/>
        </w:rPr>
        <w:t xml:space="preserve"> SABMiller was one of the authorized bottlers and a shareholder in CCBA. </w:t>
      </w:r>
    </w:p>
    <w:p w14:paraId="0484F611" w14:textId="77777777" w:rsidR="00C959EE" w:rsidRPr="00C16BE2" w:rsidRDefault="00982076" w:rsidP="00154BED">
      <w:pPr>
        <w:ind w:left="510" w:right="624"/>
        <w:rPr>
          <w:rFonts w:asciiTheme="minorHAnsi" w:hAnsiTheme="minorHAnsi"/>
          <w:sz w:val="24"/>
          <w:szCs w:val="24"/>
        </w:rPr>
      </w:pPr>
      <w:r>
        <w:rPr>
          <w:rFonts w:asciiTheme="minorHAnsi" w:hAnsiTheme="minorHAnsi" w:cs="Arial"/>
          <w:sz w:val="24"/>
          <w:szCs w:val="24"/>
        </w:rPr>
        <w:t>American-</w:t>
      </w:r>
      <w:r w:rsidR="00C959EE" w:rsidRPr="00C16BE2">
        <w:rPr>
          <w:rFonts w:asciiTheme="minorHAnsi" w:hAnsiTheme="minorHAnsi" w:cs="Arial"/>
          <w:sz w:val="24"/>
          <w:szCs w:val="24"/>
        </w:rPr>
        <w:t>listed company TCCC is the owner and supplier of coke concentrates. Its operations in South Africa is conducted by Coca-Cola Afric</w:t>
      </w:r>
      <w:r w:rsidR="00C959EE" w:rsidRPr="00C16BE2">
        <w:rPr>
          <w:rFonts w:asciiTheme="minorHAnsi" w:hAnsiTheme="minorHAnsi" w:cs="Arial"/>
          <w:color w:val="1F497D"/>
          <w:sz w:val="24"/>
          <w:szCs w:val="24"/>
        </w:rPr>
        <w:t>a</w:t>
      </w:r>
      <w:r w:rsidR="00C959EE" w:rsidRPr="00C16BE2">
        <w:rPr>
          <w:rFonts w:asciiTheme="minorHAnsi" w:hAnsiTheme="minorHAnsi" w:cs="Arial"/>
          <w:sz w:val="24"/>
          <w:szCs w:val="24"/>
        </w:rPr>
        <w:t>.</w:t>
      </w:r>
    </w:p>
    <w:p w14:paraId="7BE09003" w14:textId="77777777" w:rsidR="00C959EE" w:rsidRPr="00C16BE2" w:rsidRDefault="00C959EE" w:rsidP="00154BED">
      <w:pPr>
        <w:ind w:left="510" w:right="624"/>
        <w:rPr>
          <w:rFonts w:asciiTheme="minorHAnsi" w:hAnsiTheme="minorHAnsi" w:cs="Arial"/>
          <w:b/>
          <w:bCs/>
          <w:sz w:val="24"/>
          <w:szCs w:val="24"/>
        </w:rPr>
      </w:pPr>
    </w:p>
    <w:p w14:paraId="7101B8E0" w14:textId="77777777" w:rsidR="00C959EE" w:rsidRPr="00C16BE2" w:rsidRDefault="00C959EE" w:rsidP="00154BED">
      <w:pPr>
        <w:ind w:left="510" w:right="624"/>
        <w:rPr>
          <w:rFonts w:asciiTheme="minorHAnsi" w:hAnsiTheme="minorHAnsi"/>
          <w:sz w:val="24"/>
          <w:szCs w:val="24"/>
        </w:rPr>
      </w:pPr>
      <w:r w:rsidRPr="00C16BE2">
        <w:rPr>
          <w:rFonts w:asciiTheme="minorHAnsi" w:hAnsiTheme="minorHAnsi" w:cs="Arial"/>
          <w:b/>
          <w:bCs/>
          <w:sz w:val="24"/>
          <w:szCs w:val="24"/>
        </w:rPr>
        <w:t xml:space="preserve">Background </w:t>
      </w:r>
    </w:p>
    <w:p w14:paraId="6A1E57E4" w14:textId="77777777" w:rsidR="00C959EE" w:rsidRPr="00C16BE2" w:rsidRDefault="00C959EE" w:rsidP="00154BED">
      <w:pPr>
        <w:ind w:left="510" w:right="624"/>
        <w:rPr>
          <w:rFonts w:asciiTheme="minorHAnsi" w:hAnsiTheme="minorHAnsi"/>
          <w:sz w:val="24"/>
          <w:szCs w:val="24"/>
        </w:rPr>
      </w:pPr>
      <w:r w:rsidRPr="00C16BE2">
        <w:rPr>
          <w:rFonts w:asciiTheme="minorHAnsi" w:hAnsiTheme="minorHAnsi" w:cs="Arial"/>
          <w:b/>
          <w:bCs/>
          <w:sz w:val="24"/>
          <w:szCs w:val="24"/>
        </w:rPr>
        <w:t> </w:t>
      </w:r>
    </w:p>
    <w:p w14:paraId="291EC309" w14:textId="77777777" w:rsidR="00C959EE" w:rsidRPr="00C16BE2" w:rsidRDefault="00C959EE" w:rsidP="00154BED">
      <w:pPr>
        <w:spacing w:after="200"/>
        <w:ind w:left="510" w:right="624"/>
        <w:rPr>
          <w:rFonts w:asciiTheme="minorHAnsi" w:hAnsiTheme="minorHAnsi"/>
          <w:sz w:val="24"/>
          <w:szCs w:val="24"/>
        </w:rPr>
      </w:pPr>
      <w:r w:rsidRPr="00C16BE2">
        <w:rPr>
          <w:rFonts w:asciiTheme="minorHAnsi" w:hAnsiTheme="minorHAnsi" w:cs="Arial"/>
          <w:sz w:val="24"/>
          <w:szCs w:val="24"/>
        </w:rPr>
        <w:t>The Tribunal in 2016 approved a merger which saw independent bottlers of Coca-Cola products combine their existing operations into a single company</w:t>
      </w:r>
      <w:r w:rsidRPr="00C16BE2">
        <w:rPr>
          <w:rFonts w:asciiTheme="minorHAnsi" w:hAnsiTheme="minorHAnsi" w:cs="Arial"/>
          <w:color w:val="1F497D"/>
          <w:sz w:val="24"/>
          <w:szCs w:val="24"/>
        </w:rPr>
        <w:t>,</w:t>
      </w:r>
      <w:r w:rsidRPr="00C16BE2">
        <w:rPr>
          <w:rFonts w:asciiTheme="minorHAnsi" w:hAnsiTheme="minorHAnsi" w:cs="Arial"/>
          <w:sz w:val="24"/>
          <w:szCs w:val="24"/>
        </w:rPr>
        <w:t xml:space="preserve"> CCBA. The independent bottlers thereafter held shares in CCBA. This transaction was approved conditionally. From the time of the condition it was envisioned that SABMiller would be exiting. </w:t>
      </w:r>
    </w:p>
    <w:p w14:paraId="1C2CF7C1" w14:textId="77777777" w:rsidR="00C959EE" w:rsidRPr="00C16BE2" w:rsidRDefault="00C959EE" w:rsidP="00154BED">
      <w:pPr>
        <w:ind w:left="510" w:right="624"/>
        <w:rPr>
          <w:rFonts w:asciiTheme="minorHAnsi" w:hAnsiTheme="minorHAnsi" w:cs="Arial"/>
          <w:sz w:val="24"/>
          <w:szCs w:val="24"/>
        </w:rPr>
      </w:pPr>
      <w:r w:rsidRPr="00C16BE2">
        <w:rPr>
          <w:rFonts w:asciiTheme="minorHAnsi" w:hAnsiTheme="minorHAnsi" w:cs="Arial"/>
          <w:sz w:val="24"/>
          <w:szCs w:val="24"/>
        </w:rPr>
        <w:t>SABMiller controlled CCBA with the remaining shares being held by Coca-Cola Holdings Africa (“</w:t>
      </w:r>
      <w:r w:rsidRPr="00C16BE2">
        <w:rPr>
          <w:rFonts w:asciiTheme="minorHAnsi" w:hAnsiTheme="minorHAnsi" w:cs="Arial"/>
          <w:b/>
          <w:bCs/>
          <w:sz w:val="24"/>
          <w:szCs w:val="24"/>
        </w:rPr>
        <w:t>CCHA</w:t>
      </w:r>
      <w:r w:rsidRPr="00C16BE2">
        <w:rPr>
          <w:rFonts w:asciiTheme="minorHAnsi" w:hAnsiTheme="minorHAnsi" w:cs="Arial"/>
          <w:sz w:val="24"/>
          <w:szCs w:val="24"/>
        </w:rPr>
        <w:t xml:space="preserve">”) and </w:t>
      </w:r>
      <w:proofErr w:type="spellStart"/>
      <w:r w:rsidRPr="00C16BE2">
        <w:rPr>
          <w:rFonts w:asciiTheme="minorHAnsi" w:hAnsiTheme="minorHAnsi" w:cs="Arial"/>
          <w:sz w:val="24"/>
          <w:szCs w:val="24"/>
        </w:rPr>
        <w:t>Gutsche</w:t>
      </w:r>
      <w:proofErr w:type="spellEnd"/>
      <w:r w:rsidRPr="00C16BE2">
        <w:rPr>
          <w:rFonts w:asciiTheme="minorHAnsi" w:hAnsiTheme="minorHAnsi" w:cs="Arial"/>
          <w:sz w:val="24"/>
          <w:szCs w:val="24"/>
        </w:rPr>
        <w:t xml:space="preserve"> Family Investments</w:t>
      </w:r>
      <w:r w:rsidR="00F35355">
        <w:rPr>
          <w:rFonts w:asciiTheme="minorHAnsi" w:hAnsiTheme="minorHAnsi" w:cs="Arial"/>
          <w:sz w:val="24"/>
          <w:szCs w:val="24"/>
        </w:rPr>
        <w:t xml:space="preserve"> </w:t>
      </w:r>
      <w:r w:rsidRPr="00C16BE2">
        <w:rPr>
          <w:rFonts w:asciiTheme="minorHAnsi" w:hAnsiTheme="minorHAnsi" w:cs="Arial"/>
          <w:sz w:val="24"/>
          <w:szCs w:val="24"/>
        </w:rPr>
        <w:t xml:space="preserve">.In terms of the shareholders agreement for that transaction CCHA had the option to purchase SABMiller shares and require its exit. </w:t>
      </w:r>
    </w:p>
    <w:p w14:paraId="04296588" w14:textId="77777777" w:rsidR="00C959EE" w:rsidRDefault="00C959EE" w:rsidP="00154BED">
      <w:pPr>
        <w:ind w:left="510" w:right="624"/>
        <w:rPr>
          <w:rFonts w:asciiTheme="minorHAnsi" w:hAnsiTheme="minorHAnsi"/>
          <w:sz w:val="24"/>
          <w:szCs w:val="24"/>
        </w:rPr>
      </w:pPr>
    </w:p>
    <w:p w14:paraId="4328D1A5" w14:textId="77777777" w:rsidR="00C959EE" w:rsidRDefault="00C959EE" w:rsidP="00154BED">
      <w:pPr>
        <w:ind w:left="510" w:right="624"/>
        <w:rPr>
          <w:rFonts w:asciiTheme="minorHAnsi" w:hAnsiTheme="minorHAnsi" w:cs="Arial"/>
          <w:sz w:val="24"/>
          <w:szCs w:val="24"/>
        </w:rPr>
      </w:pPr>
      <w:r w:rsidRPr="00C16BE2">
        <w:rPr>
          <w:rFonts w:asciiTheme="minorHAnsi" w:hAnsiTheme="minorHAnsi" w:cs="Arial"/>
          <w:sz w:val="24"/>
          <w:szCs w:val="24"/>
        </w:rPr>
        <w:t xml:space="preserve">This transaction is a culmination of that right. This transaction will see TCCC buy SABMiller’s shareholding. </w:t>
      </w:r>
    </w:p>
    <w:p w14:paraId="0FFF8C79" w14:textId="77777777" w:rsidR="00982076" w:rsidRDefault="00982076" w:rsidP="00154BED">
      <w:pPr>
        <w:ind w:left="510" w:right="624"/>
        <w:rPr>
          <w:rFonts w:asciiTheme="minorHAnsi" w:hAnsiTheme="minorHAnsi" w:cs="Arial"/>
          <w:sz w:val="24"/>
          <w:szCs w:val="24"/>
        </w:rPr>
      </w:pPr>
    </w:p>
    <w:p w14:paraId="59BCB627" w14:textId="77777777" w:rsidR="00520447" w:rsidRDefault="00982076" w:rsidP="00154BED">
      <w:pPr>
        <w:ind w:left="510" w:right="624"/>
        <w:rPr>
          <w:rFonts w:asciiTheme="minorHAnsi" w:hAnsiTheme="minorHAnsi" w:cs="Arial"/>
          <w:sz w:val="24"/>
          <w:szCs w:val="24"/>
        </w:rPr>
      </w:pPr>
      <w:r>
        <w:rPr>
          <w:rFonts w:asciiTheme="minorHAnsi" w:hAnsiTheme="minorHAnsi" w:cs="Arial"/>
          <w:sz w:val="24"/>
          <w:szCs w:val="24"/>
        </w:rPr>
        <w:t xml:space="preserve">Approval was given subject to employment conditions, B-BEEE holding and the employee share ownership programme.  </w:t>
      </w:r>
    </w:p>
    <w:p w14:paraId="37A4D8D9" w14:textId="77777777" w:rsidR="00982076" w:rsidRDefault="00982076" w:rsidP="00154BED">
      <w:pPr>
        <w:ind w:left="510" w:right="624"/>
        <w:rPr>
          <w:rFonts w:ascii="Arial" w:hAnsi="Arial" w:cs="Arial"/>
          <w:b/>
          <w:bCs/>
          <w:sz w:val="24"/>
          <w:szCs w:val="24"/>
        </w:rPr>
      </w:pPr>
    </w:p>
    <w:p w14:paraId="4A1FDF23" w14:textId="77777777" w:rsidR="00C959EE" w:rsidRPr="001F00BC" w:rsidRDefault="00C959EE" w:rsidP="00154BED">
      <w:pPr>
        <w:tabs>
          <w:tab w:val="left" w:pos="1725"/>
        </w:tabs>
        <w:ind w:left="510" w:right="624"/>
        <w:jc w:val="both"/>
        <w:rPr>
          <w:rFonts w:asciiTheme="minorHAnsi" w:hAnsiTheme="minorHAnsi" w:cs="Arial"/>
          <w:b/>
          <w:sz w:val="24"/>
          <w:szCs w:val="24"/>
        </w:rPr>
      </w:pPr>
      <w:r>
        <w:rPr>
          <w:rFonts w:asciiTheme="minorHAnsi" w:hAnsiTheme="minorHAnsi" w:cs="Arial"/>
          <w:b/>
          <w:sz w:val="24"/>
          <w:szCs w:val="24"/>
        </w:rPr>
        <w:t xml:space="preserve">Tribunal approves </w:t>
      </w:r>
      <w:r w:rsidRPr="001F00BC">
        <w:rPr>
          <w:rFonts w:asciiTheme="minorHAnsi" w:hAnsiTheme="minorHAnsi" w:cs="Arial"/>
          <w:b/>
          <w:sz w:val="24"/>
          <w:szCs w:val="24"/>
        </w:rPr>
        <w:t>Pride Milling</w:t>
      </w:r>
      <w:r>
        <w:rPr>
          <w:rFonts w:asciiTheme="minorHAnsi" w:hAnsiTheme="minorHAnsi" w:cs="Arial"/>
          <w:b/>
          <w:sz w:val="24"/>
          <w:szCs w:val="24"/>
        </w:rPr>
        <w:t xml:space="preserve">’s </w:t>
      </w:r>
      <w:r w:rsidRPr="001F00BC">
        <w:rPr>
          <w:rFonts w:asciiTheme="minorHAnsi" w:hAnsiTheme="minorHAnsi" w:cs="Arial"/>
          <w:b/>
          <w:sz w:val="24"/>
          <w:szCs w:val="24"/>
        </w:rPr>
        <w:t>R10,6m settlement</w:t>
      </w:r>
    </w:p>
    <w:p w14:paraId="43C0278B" w14:textId="77777777" w:rsidR="00C959EE" w:rsidRDefault="00C959EE" w:rsidP="00154BED">
      <w:pPr>
        <w:tabs>
          <w:tab w:val="left" w:pos="1725"/>
        </w:tabs>
        <w:ind w:left="510" w:right="624"/>
        <w:jc w:val="both"/>
        <w:rPr>
          <w:rFonts w:asciiTheme="minorHAnsi" w:hAnsiTheme="minorHAnsi" w:cs="Arial"/>
          <w:sz w:val="24"/>
          <w:szCs w:val="24"/>
        </w:rPr>
      </w:pPr>
    </w:p>
    <w:p w14:paraId="3DB9D391" w14:textId="77777777" w:rsidR="00C959EE" w:rsidRDefault="00C959EE" w:rsidP="00154BED">
      <w:pPr>
        <w:ind w:left="510" w:right="624"/>
        <w:jc w:val="both"/>
      </w:pPr>
      <w:r>
        <w:rPr>
          <w:sz w:val="24"/>
          <w:szCs w:val="24"/>
        </w:rPr>
        <w:t xml:space="preserve">The Tribunal has confirmed a settlement agreement involving Pride Milling for price fixing in the market for milled white maize products in which it has agreed to pay R10 624 959.60 (5% of Pride Milling’s annual turnover for the financial year end Feb 2007). </w:t>
      </w:r>
    </w:p>
    <w:p w14:paraId="1CF633E0" w14:textId="77777777" w:rsidR="00C959EE" w:rsidRDefault="00C959EE" w:rsidP="00154BED">
      <w:pPr>
        <w:ind w:left="510" w:right="624"/>
        <w:jc w:val="both"/>
      </w:pPr>
      <w:r>
        <w:rPr>
          <w:sz w:val="24"/>
          <w:szCs w:val="24"/>
        </w:rPr>
        <w:t> </w:t>
      </w:r>
    </w:p>
    <w:p w14:paraId="2C30D5D1" w14:textId="77777777" w:rsidR="00C959EE" w:rsidRDefault="00C959EE" w:rsidP="00154BED">
      <w:pPr>
        <w:ind w:left="510" w:right="624"/>
        <w:jc w:val="both"/>
      </w:pPr>
      <w:r>
        <w:rPr>
          <w:sz w:val="24"/>
          <w:szCs w:val="24"/>
        </w:rPr>
        <w:t xml:space="preserve">The Commission initiated a complaint against Tiger, Pioneer, </w:t>
      </w:r>
      <w:proofErr w:type="spellStart"/>
      <w:r>
        <w:rPr>
          <w:sz w:val="24"/>
          <w:szCs w:val="24"/>
        </w:rPr>
        <w:t>Foodcorp</w:t>
      </w:r>
      <w:proofErr w:type="spellEnd"/>
      <w:r>
        <w:rPr>
          <w:sz w:val="24"/>
          <w:szCs w:val="24"/>
        </w:rPr>
        <w:t>, Pride and Progress Milling in the maize milling industry for concluding agreements where they would fix prices of milled white products and the dates when they would be implemented which is in contravention of s 4(1)(b)(i).</w:t>
      </w:r>
    </w:p>
    <w:p w14:paraId="68878AAA" w14:textId="77777777" w:rsidR="00C959EE" w:rsidRDefault="00C959EE" w:rsidP="00154BED">
      <w:pPr>
        <w:ind w:left="510" w:right="624"/>
        <w:jc w:val="both"/>
      </w:pPr>
      <w:r>
        <w:rPr>
          <w:sz w:val="24"/>
          <w:szCs w:val="24"/>
        </w:rPr>
        <w:t> </w:t>
      </w:r>
    </w:p>
    <w:p w14:paraId="32DF907F" w14:textId="77777777" w:rsidR="00C959EE" w:rsidRDefault="00C959EE" w:rsidP="00154BED">
      <w:pPr>
        <w:ind w:left="510" w:right="624"/>
      </w:pPr>
      <w:r>
        <w:rPr>
          <w:sz w:val="24"/>
          <w:szCs w:val="24"/>
        </w:rPr>
        <w:t>The following respondents have concluded settlement agreements for this complaint referral:</w:t>
      </w:r>
    </w:p>
    <w:p w14:paraId="45B731D3" w14:textId="77777777" w:rsidR="00C959EE" w:rsidRDefault="00C959EE" w:rsidP="00154BED">
      <w:pPr>
        <w:pStyle w:val="ListParagraph"/>
        <w:spacing w:after="0" w:line="240" w:lineRule="auto"/>
        <w:ind w:left="510" w:right="624" w:hanging="360"/>
      </w:pPr>
      <w:r>
        <w:rPr>
          <w:rFonts w:ascii="Symbol" w:hAnsi="Symbol"/>
          <w:sz w:val="24"/>
          <w:szCs w:val="24"/>
        </w:rPr>
        <w:lastRenderedPageBreak/>
        <w:t></w:t>
      </w:r>
      <w:r>
        <w:rPr>
          <w:rFonts w:ascii="Times New Roman" w:hAnsi="Times New Roman"/>
          <w:sz w:val="14"/>
          <w:szCs w:val="14"/>
        </w:rPr>
        <w:t xml:space="preserve">         </w:t>
      </w:r>
      <w:proofErr w:type="spellStart"/>
      <w:r>
        <w:rPr>
          <w:sz w:val="24"/>
          <w:szCs w:val="24"/>
        </w:rPr>
        <w:t>Blinkwater</w:t>
      </w:r>
      <w:proofErr w:type="spellEnd"/>
      <w:r>
        <w:rPr>
          <w:sz w:val="24"/>
          <w:szCs w:val="24"/>
        </w:rPr>
        <w:t xml:space="preserve"> admitted to contravening s 4(19)(b)(i) and paid and administrative penalty of </w:t>
      </w:r>
      <w:r>
        <w:rPr>
          <w:b/>
          <w:bCs/>
          <w:sz w:val="24"/>
          <w:szCs w:val="24"/>
        </w:rPr>
        <w:t> </w:t>
      </w:r>
      <w:r>
        <w:rPr>
          <w:sz w:val="24"/>
          <w:szCs w:val="24"/>
        </w:rPr>
        <w:t xml:space="preserve">pay R10 112 504.20 (5% of </w:t>
      </w:r>
      <w:proofErr w:type="spellStart"/>
      <w:r>
        <w:rPr>
          <w:sz w:val="24"/>
          <w:szCs w:val="24"/>
        </w:rPr>
        <w:t>Blinkwater’s</w:t>
      </w:r>
      <w:proofErr w:type="spellEnd"/>
      <w:r>
        <w:rPr>
          <w:sz w:val="24"/>
          <w:szCs w:val="24"/>
        </w:rPr>
        <w:t xml:space="preserve"> annual turnover for the financial year end Feb 2007)</w:t>
      </w:r>
    </w:p>
    <w:p w14:paraId="1FFF55C1" w14:textId="77777777" w:rsidR="00C959EE" w:rsidRDefault="00C959EE" w:rsidP="00154BED">
      <w:pPr>
        <w:pStyle w:val="ListParagraph"/>
        <w:spacing w:after="0" w:line="240" w:lineRule="auto"/>
        <w:ind w:left="510" w:right="624" w:hanging="360"/>
      </w:pPr>
      <w:r>
        <w:rPr>
          <w:rFonts w:ascii="Symbol" w:hAnsi="Symbol"/>
          <w:sz w:val="24"/>
          <w:szCs w:val="24"/>
        </w:rPr>
        <w:t></w:t>
      </w:r>
      <w:r>
        <w:rPr>
          <w:rFonts w:ascii="Times New Roman" w:hAnsi="Times New Roman"/>
          <w:sz w:val="14"/>
          <w:szCs w:val="14"/>
        </w:rPr>
        <w:t xml:space="preserve">         </w:t>
      </w:r>
      <w:r>
        <w:rPr>
          <w:sz w:val="24"/>
          <w:szCs w:val="24"/>
        </w:rPr>
        <w:t>CC and Keystone Milling (Pty) Ltd- where Keystone admitted to contravening s 4(1)(b)(i) and paid an administrative penalty of R6 730 349 (3% annual turnover for the 2009 financial year)</w:t>
      </w:r>
    </w:p>
    <w:p w14:paraId="21898862" w14:textId="77777777" w:rsidR="00C959EE" w:rsidRDefault="00C959EE" w:rsidP="00154BED">
      <w:pPr>
        <w:pStyle w:val="ListParagraph"/>
        <w:spacing w:after="0" w:line="240" w:lineRule="auto"/>
        <w:ind w:left="510" w:right="624" w:hanging="360"/>
      </w:pPr>
      <w:r>
        <w:rPr>
          <w:rFonts w:ascii="Symbol" w:hAnsi="Symbol"/>
          <w:sz w:val="24"/>
          <w:szCs w:val="24"/>
        </w:rPr>
        <w:t></w:t>
      </w:r>
      <w:r>
        <w:rPr>
          <w:rFonts w:ascii="Times New Roman" w:hAnsi="Times New Roman"/>
          <w:sz w:val="14"/>
          <w:szCs w:val="14"/>
        </w:rPr>
        <w:t xml:space="preserve">         </w:t>
      </w:r>
      <w:r>
        <w:rPr>
          <w:sz w:val="24"/>
          <w:szCs w:val="24"/>
        </w:rPr>
        <w:t xml:space="preserve">CC and Carolina </w:t>
      </w:r>
      <w:proofErr w:type="spellStart"/>
      <w:r>
        <w:rPr>
          <w:sz w:val="24"/>
          <w:szCs w:val="24"/>
        </w:rPr>
        <w:t>Rollermeule</w:t>
      </w:r>
      <w:proofErr w:type="spellEnd"/>
      <w:r>
        <w:rPr>
          <w:sz w:val="24"/>
          <w:szCs w:val="24"/>
        </w:rPr>
        <w:t xml:space="preserve"> (Pty) Ltd-  Caroline admits to contravening s 4(1)(b)(i) and agreed to pay R4 417 546.(5% of its annual turnover for 2009)</w:t>
      </w:r>
    </w:p>
    <w:p w14:paraId="3441E514" w14:textId="77777777" w:rsidR="00C959EE" w:rsidRDefault="00C959EE" w:rsidP="00154BED">
      <w:pPr>
        <w:pStyle w:val="ListParagraph"/>
        <w:spacing w:after="0" w:line="240" w:lineRule="auto"/>
        <w:ind w:left="510" w:right="624" w:hanging="360"/>
      </w:pPr>
      <w:r>
        <w:rPr>
          <w:rFonts w:ascii="Symbol" w:hAnsi="Symbol"/>
          <w:sz w:val="24"/>
          <w:szCs w:val="24"/>
        </w:rPr>
        <w:t></w:t>
      </w:r>
      <w:r>
        <w:rPr>
          <w:rFonts w:ascii="Times New Roman" w:hAnsi="Times New Roman"/>
          <w:sz w:val="14"/>
          <w:szCs w:val="14"/>
        </w:rPr>
        <w:t xml:space="preserve">         </w:t>
      </w:r>
      <w:r>
        <w:rPr>
          <w:sz w:val="24"/>
          <w:szCs w:val="24"/>
        </w:rPr>
        <w:t>CC and</w:t>
      </w:r>
      <w:r>
        <w:rPr>
          <w:b/>
          <w:bCs/>
          <w:sz w:val="24"/>
          <w:szCs w:val="24"/>
        </w:rPr>
        <w:t xml:space="preserve"> </w:t>
      </w:r>
      <w:r>
        <w:rPr>
          <w:sz w:val="24"/>
          <w:szCs w:val="24"/>
        </w:rPr>
        <w:t>Brenner Mills Proprietary Limited admitted to contravening s 4(1)(b)(i) fined R12 000 872  which is 5% of its annual turnover for the financial year end Feb 2007.</w:t>
      </w:r>
    </w:p>
    <w:p w14:paraId="5EFE030F" w14:textId="77777777" w:rsidR="00C959EE" w:rsidRDefault="00C959EE" w:rsidP="00154BED">
      <w:pPr>
        <w:pStyle w:val="ListParagraph"/>
        <w:spacing w:after="0" w:line="240" w:lineRule="auto"/>
        <w:ind w:left="510" w:right="624"/>
      </w:pPr>
      <w:r>
        <w:rPr>
          <w:sz w:val="24"/>
          <w:szCs w:val="24"/>
        </w:rPr>
        <w:t> </w:t>
      </w:r>
    </w:p>
    <w:p w14:paraId="51C84BA3" w14:textId="77777777" w:rsidR="00C959EE" w:rsidRDefault="00C959EE" w:rsidP="00154BED">
      <w:pPr>
        <w:ind w:left="510" w:right="624"/>
        <w:jc w:val="both"/>
      </w:pPr>
      <w:r>
        <w:rPr>
          <w:sz w:val="24"/>
          <w:szCs w:val="24"/>
        </w:rPr>
        <w:t>Tiger Brands Limited and Premier Food (Pty) Ltd are leniency applicants</w:t>
      </w:r>
    </w:p>
    <w:p w14:paraId="0C0A895B" w14:textId="77777777" w:rsidR="00520447" w:rsidRPr="00033C0E" w:rsidRDefault="00520447" w:rsidP="00154BED">
      <w:pPr>
        <w:autoSpaceDE w:val="0"/>
        <w:autoSpaceDN w:val="0"/>
        <w:spacing w:after="160"/>
        <w:ind w:left="510" w:right="624"/>
        <w:contextualSpacing/>
        <w:jc w:val="both"/>
        <w:rPr>
          <w:rFonts w:ascii="Arial" w:hAnsi="Arial" w:cs="Arial"/>
          <w:b/>
          <w:bCs/>
          <w:sz w:val="24"/>
          <w:szCs w:val="24"/>
        </w:rPr>
      </w:pPr>
    </w:p>
    <w:p w14:paraId="0B441312" w14:textId="77777777" w:rsidR="00A0449B" w:rsidRPr="00033C0E" w:rsidRDefault="00A0449B" w:rsidP="00154BED">
      <w:pPr>
        <w:autoSpaceDE w:val="0"/>
        <w:autoSpaceDN w:val="0"/>
        <w:spacing w:after="160"/>
        <w:ind w:left="510" w:right="624"/>
        <w:contextualSpacing/>
        <w:jc w:val="both"/>
        <w:rPr>
          <w:rFonts w:asciiTheme="minorHAnsi" w:hAnsiTheme="minorHAnsi" w:cs="Arial"/>
          <w:b/>
          <w:bCs/>
          <w:sz w:val="24"/>
          <w:szCs w:val="24"/>
          <w:lang w:val="en-GB"/>
        </w:rPr>
      </w:pPr>
      <w:r w:rsidRPr="00033C0E">
        <w:rPr>
          <w:rFonts w:asciiTheme="minorHAnsi" w:hAnsiTheme="minorHAnsi" w:cs="Arial"/>
          <w:b/>
          <w:bCs/>
          <w:sz w:val="24"/>
          <w:szCs w:val="24"/>
        </w:rPr>
        <w:t xml:space="preserve">Steinhoff Doors and Building Materials </w:t>
      </w:r>
      <w:r w:rsidR="00F35355">
        <w:rPr>
          <w:rFonts w:asciiTheme="minorHAnsi" w:hAnsiTheme="minorHAnsi" w:cs="Arial"/>
          <w:b/>
          <w:bCs/>
          <w:sz w:val="24"/>
          <w:szCs w:val="24"/>
        </w:rPr>
        <w:t xml:space="preserve">merger with </w:t>
      </w:r>
      <w:r w:rsidRPr="00033C0E">
        <w:rPr>
          <w:rFonts w:asciiTheme="minorHAnsi" w:hAnsiTheme="minorHAnsi" w:cs="Arial"/>
          <w:b/>
          <w:bCs/>
          <w:sz w:val="24"/>
          <w:szCs w:val="24"/>
        </w:rPr>
        <w:t xml:space="preserve">Building Supply Group </w:t>
      </w:r>
      <w:r w:rsidR="00F35355">
        <w:rPr>
          <w:rFonts w:asciiTheme="minorHAnsi" w:hAnsiTheme="minorHAnsi" w:cs="Arial"/>
          <w:b/>
          <w:bCs/>
          <w:sz w:val="24"/>
          <w:szCs w:val="24"/>
        </w:rPr>
        <w:t>is approved</w:t>
      </w:r>
    </w:p>
    <w:p w14:paraId="4D9C570E" w14:textId="77777777" w:rsidR="00A0449B" w:rsidRPr="00033C0E" w:rsidRDefault="00A0449B" w:rsidP="00154BED">
      <w:pPr>
        <w:autoSpaceDE w:val="0"/>
        <w:autoSpaceDN w:val="0"/>
        <w:ind w:left="510" w:right="624"/>
        <w:jc w:val="both"/>
        <w:rPr>
          <w:rFonts w:asciiTheme="minorHAnsi" w:hAnsiTheme="minorHAnsi" w:cs="Arial"/>
          <w:sz w:val="24"/>
          <w:szCs w:val="24"/>
          <w:lang w:val="en-GB"/>
        </w:rPr>
      </w:pPr>
    </w:p>
    <w:p w14:paraId="01C492CD" w14:textId="77777777" w:rsidR="00A0449B" w:rsidRDefault="00A0449B" w:rsidP="00154BED">
      <w:pPr>
        <w:autoSpaceDE w:val="0"/>
        <w:autoSpaceDN w:val="0"/>
        <w:ind w:left="510" w:right="624"/>
        <w:jc w:val="both"/>
        <w:rPr>
          <w:rFonts w:asciiTheme="minorHAnsi" w:hAnsiTheme="minorHAnsi" w:cs="Arial"/>
          <w:sz w:val="24"/>
          <w:szCs w:val="24"/>
          <w:lang w:val="en-GB"/>
        </w:rPr>
      </w:pPr>
      <w:r w:rsidRPr="00033C0E">
        <w:rPr>
          <w:rFonts w:asciiTheme="minorHAnsi" w:hAnsiTheme="minorHAnsi" w:cs="Arial"/>
          <w:sz w:val="24"/>
          <w:szCs w:val="24"/>
          <w:lang w:val="en-GB"/>
        </w:rPr>
        <w:t xml:space="preserve">Tribunal </w:t>
      </w:r>
      <w:r w:rsidR="00F35355">
        <w:rPr>
          <w:rFonts w:asciiTheme="minorHAnsi" w:hAnsiTheme="minorHAnsi" w:cs="Arial"/>
          <w:sz w:val="24"/>
          <w:szCs w:val="24"/>
          <w:lang w:val="en-GB"/>
        </w:rPr>
        <w:t xml:space="preserve">approved the </w:t>
      </w:r>
      <w:r w:rsidRPr="00033C0E">
        <w:rPr>
          <w:rFonts w:asciiTheme="minorHAnsi" w:hAnsiTheme="minorHAnsi" w:cs="Arial"/>
          <w:sz w:val="24"/>
          <w:szCs w:val="24"/>
          <w:lang w:val="en-GB"/>
        </w:rPr>
        <w:t xml:space="preserve">merger </w:t>
      </w:r>
      <w:r w:rsidR="00F35355">
        <w:rPr>
          <w:rFonts w:asciiTheme="minorHAnsi" w:hAnsiTheme="minorHAnsi" w:cs="Arial"/>
          <w:sz w:val="24"/>
          <w:szCs w:val="24"/>
          <w:lang w:val="en-GB"/>
        </w:rPr>
        <w:t>between</w:t>
      </w:r>
      <w:r w:rsidRPr="00033C0E">
        <w:rPr>
          <w:rFonts w:asciiTheme="minorHAnsi" w:hAnsiTheme="minorHAnsi" w:cs="Arial"/>
          <w:sz w:val="24"/>
          <w:szCs w:val="24"/>
          <w:lang w:val="en-GB"/>
        </w:rPr>
        <w:t xml:space="preserve"> Steinhoff Doors and Building Materials (Pty) Ltd (SDBM)</w:t>
      </w:r>
      <w:r w:rsidR="00F35355">
        <w:rPr>
          <w:rFonts w:asciiTheme="minorHAnsi" w:hAnsiTheme="minorHAnsi" w:cs="Arial"/>
          <w:sz w:val="24"/>
          <w:szCs w:val="24"/>
          <w:lang w:val="en-GB"/>
        </w:rPr>
        <w:t xml:space="preserve"> which will the acquisition of</w:t>
      </w:r>
      <w:r w:rsidRPr="00033C0E">
        <w:rPr>
          <w:rFonts w:asciiTheme="minorHAnsi" w:hAnsiTheme="minorHAnsi" w:cs="Arial"/>
          <w:sz w:val="24"/>
          <w:szCs w:val="24"/>
          <w:lang w:val="en-GB"/>
        </w:rPr>
        <w:t xml:space="preserve"> Building Supply Group (Pty) Ltd (BSG).</w:t>
      </w:r>
      <w:r w:rsidR="00033C0E">
        <w:rPr>
          <w:rFonts w:asciiTheme="minorHAnsi" w:hAnsiTheme="minorHAnsi" w:cs="Arial"/>
          <w:sz w:val="24"/>
          <w:szCs w:val="24"/>
          <w:lang w:val="en-GB"/>
        </w:rPr>
        <w:t xml:space="preserve"> The </w:t>
      </w:r>
      <w:r w:rsidR="00F35355">
        <w:rPr>
          <w:rFonts w:asciiTheme="minorHAnsi" w:hAnsiTheme="minorHAnsi" w:cs="Arial"/>
          <w:sz w:val="24"/>
          <w:szCs w:val="24"/>
          <w:lang w:val="en-GB"/>
        </w:rPr>
        <w:t xml:space="preserve">Tribunal approved the merger with conditions. </w:t>
      </w:r>
    </w:p>
    <w:p w14:paraId="6D40665C" w14:textId="77777777" w:rsidR="00F35355" w:rsidRPr="00033C0E" w:rsidRDefault="00F35355" w:rsidP="00154BED">
      <w:pPr>
        <w:autoSpaceDE w:val="0"/>
        <w:autoSpaceDN w:val="0"/>
        <w:ind w:left="510" w:right="624"/>
        <w:jc w:val="both"/>
        <w:rPr>
          <w:rFonts w:asciiTheme="minorHAnsi" w:hAnsiTheme="minorHAnsi" w:cs="Arial"/>
          <w:sz w:val="24"/>
          <w:szCs w:val="24"/>
          <w:lang w:val="en-GB"/>
        </w:rPr>
      </w:pPr>
    </w:p>
    <w:p w14:paraId="5AA3D7DA" w14:textId="77777777" w:rsidR="00A0449B" w:rsidRPr="00033C0E" w:rsidRDefault="00A0449B" w:rsidP="00154BED">
      <w:pPr>
        <w:ind w:left="510" w:right="624"/>
        <w:jc w:val="both"/>
        <w:rPr>
          <w:rFonts w:asciiTheme="minorHAnsi" w:hAnsiTheme="minorHAnsi" w:cs="Arial"/>
          <w:sz w:val="24"/>
          <w:szCs w:val="24"/>
          <w:lang w:val="en-GB"/>
        </w:rPr>
      </w:pPr>
      <w:r w:rsidRPr="00033C0E">
        <w:rPr>
          <w:rFonts w:asciiTheme="minorHAnsi" w:hAnsiTheme="minorHAnsi" w:cs="Arial"/>
          <w:sz w:val="24"/>
          <w:szCs w:val="24"/>
          <w:lang w:val="en-GB"/>
        </w:rPr>
        <w:t>SDBM is controlled by JD Group Limited which is in turn ultimately controlled by Steinhoff International Holdings Limited (SIH). SDBM, the JD Group, SIH and the firms it controls are the acquiring group, a diversified and differentiated furniture, appliance, electronic goods, home entertainment and office automation, building materials and Do-It-Yourself (“DIY”) as well as automotive products retailer. Relevant to the proposed transaction are its activities related to the wholesale of tiles and sanitary ware, wholesale of building supplies, hardware and related products and the retail of tiles and sanitary ware.</w:t>
      </w:r>
    </w:p>
    <w:p w14:paraId="5A9C9D7C" w14:textId="77777777" w:rsidR="00A0449B" w:rsidRPr="00033C0E" w:rsidRDefault="00A0449B" w:rsidP="00154BED">
      <w:pPr>
        <w:ind w:left="510" w:right="624"/>
        <w:jc w:val="both"/>
        <w:rPr>
          <w:rFonts w:asciiTheme="minorHAnsi" w:hAnsiTheme="minorHAnsi" w:cs="Arial"/>
          <w:sz w:val="24"/>
          <w:szCs w:val="24"/>
        </w:rPr>
      </w:pPr>
    </w:p>
    <w:p w14:paraId="45528F57" w14:textId="77777777" w:rsidR="00A0449B" w:rsidRPr="00033C0E" w:rsidRDefault="00A0449B" w:rsidP="00154BED">
      <w:pPr>
        <w:ind w:left="510" w:right="624"/>
        <w:jc w:val="both"/>
        <w:rPr>
          <w:rFonts w:asciiTheme="minorHAnsi" w:hAnsiTheme="minorHAnsi" w:cs="Arial"/>
          <w:sz w:val="24"/>
          <w:szCs w:val="24"/>
          <w:lang w:val="en-GB"/>
        </w:rPr>
      </w:pPr>
      <w:r w:rsidRPr="00033C0E">
        <w:rPr>
          <w:rFonts w:asciiTheme="minorHAnsi" w:hAnsiTheme="minorHAnsi" w:cs="Arial"/>
          <w:sz w:val="24"/>
          <w:szCs w:val="24"/>
          <w:lang w:val="en-GB"/>
        </w:rPr>
        <w:t xml:space="preserve">BSG is the holding company of the MacNeil group of companies and the </w:t>
      </w:r>
      <w:proofErr w:type="spellStart"/>
      <w:r w:rsidRPr="00033C0E">
        <w:rPr>
          <w:rFonts w:asciiTheme="minorHAnsi" w:hAnsiTheme="minorHAnsi" w:cs="Arial"/>
          <w:sz w:val="24"/>
          <w:szCs w:val="24"/>
          <w:lang w:val="en-GB"/>
        </w:rPr>
        <w:t>Tiletoria</w:t>
      </w:r>
      <w:proofErr w:type="spellEnd"/>
      <w:r w:rsidRPr="00033C0E">
        <w:rPr>
          <w:rFonts w:asciiTheme="minorHAnsi" w:hAnsiTheme="minorHAnsi" w:cs="Arial"/>
          <w:sz w:val="24"/>
          <w:szCs w:val="24"/>
          <w:lang w:val="en-GB"/>
        </w:rPr>
        <w:t xml:space="preserve"> group of companies. </w:t>
      </w:r>
      <w:proofErr w:type="spellStart"/>
      <w:r w:rsidRPr="00033C0E">
        <w:rPr>
          <w:rFonts w:asciiTheme="minorHAnsi" w:hAnsiTheme="minorHAnsi" w:cs="Arial"/>
          <w:sz w:val="24"/>
          <w:szCs w:val="24"/>
          <w:lang w:val="en-GB"/>
        </w:rPr>
        <w:t>Tiletoria’s</w:t>
      </w:r>
      <w:proofErr w:type="spellEnd"/>
      <w:r w:rsidRPr="00033C0E">
        <w:rPr>
          <w:rFonts w:asciiTheme="minorHAnsi" w:hAnsiTheme="minorHAnsi" w:cs="Arial"/>
          <w:sz w:val="24"/>
          <w:szCs w:val="24"/>
          <w:lang w:val="en-GB"/>
        </w:rPr>
        <w:t xml:space="preserve"> product offering includes ceramic and porcelain tiles, laminated flooring, vinyl flooring, engineered flooring, bathroom accessories, sanitary ware, showers and a tap range. BSG’s </w:t>
      </w:r>
      <w:proofErr w:type="spellStart"/>
      <w:r w:rsidRPr="00033C0E">
        <w:rPr>
          <w:rFonts w:asciiTheme="minorHAnsi" w:hAnsiTheme="minorHAnsi" w:cs="Arial"/>
          <w:sz w:val="24"/>
          <w:szCs w:val="24"/>
          <w:lang w:val="en-GB"/>
        </w:rPr>
        <w:t>Floormark</w:t>
      </w:r>
      <w:proofErr w:type="spellEnd"/>
      <w:r w:rsidRPr="00033C0E">
        <w:rPr>
          <w:rFonts w:asciiTheme="minorHAnsi" w:hAnsiTheme="minorHAnsi" w:cs="Arial"/>
          <w:sz w:val="24"/>
          <w:szCs w:val="24"/>
          <w:lang w:val="en-GB"/>
        </w:rPr>
        <w:t xml:space="preserve"> is a retailer of laminate, bamboo and vinyl flooring, carpets and carpet tiles. It also involved in importing, packaging, distributing and wholesaling sanitary ware and plumbing.</w:t>
      </w:r>
    </w:p>
    <w:p w14:paraId="0B51C8A9" w14:textId="77777777" w:rsidR="00A0449B" w:rsidRPr="00033C0E" w:rsidRDefault="00A0449B" w:rsidP="00154BED">
      <w:pPr>
        <w:ind w:left="510" w:right="624"/>
        <w:jc w:val="both"/>
        <w:rPr>
          <w:rFonts w:asciiTheme="minorHAnsi" w:hAnsiTheme="minorHAnsi" w:cs="Arial"/>
          <w:sz w:val="24"/>
          <w:szCs w:val="24"/>
          <w:lang w:val="en-GB"/>
        </w:rPr>
      </w:pPr>
    </w:p>
    <w:p w14:paraId="5B8BBCE1" w14:textId="77777777" w:rsidR="00A0449B" w:rsidRPr="00033C0E" w:rsidRDefault="00A0449B" w:rsidP="00154BED">
      <w:pPr>
        <w:ind w:left="510" w:right="624"/>
        <w:jc w:val="both"/>
        <w:rPr>
          <w:rFonts w:asciiTheme="minorHAnsi" w:hAnsiTheme="minorHAnsi" w:cs="Arial"/>
          <w:sz w:val="24"/>
          <w:szCs w:val="24"/>
          <w:lang w:val="en-GB"/>
        </w:rPr>
      </w:pPr>
      <w:r w:rsidRPr="00033C0E">
        <w:rPr>
          <w:rFonts w:asciiTheme="minorHAnsi" w:hAnsiTheme="minorHAnsi" w:cs="Arial"/>
          <w:sz w:val="24"/>
          <w:szCs w:val="24"/>
          <w:lang w:val="en-GB"/>
        </w:rPr>
        <w:t xml:space="preserve">The </w:t>
      </w:r>
      <w:r w:rsidR="00F35355">
        <w:rPr>
          <w:rFonts w:asciiTheme="minorHAnsi" w:hAnsiTheme="minorHAnsi" w:cs="Arial"/>
          <w:sz w:val="24"/>
          <w:szCs w:val="24"/>
          <w:lang w:val="en-GB"/>
        </w:rPr>
        <w:t xml:space="preserve">Tribunal approved conditions involving employees and retention of jobs.  </w:t>
      </w:r>
    </w:p>
    <w:p w14:paraId="1AD9FA81" w14:textId="77777777" w:rsidR="00A0449B" w:rsidRPr="00033C0E" w:rsidRDefault="00A0449B" w:rsidP="00154BED">
      <w:pPr>
        <w:autoSpaceDE w:val="0"/>
        <w:autoSpaceDN w:val="0"/>
        <w:ind w:left="510" w:right="624"/>
        <w:jc w:val="both"/>
        <w:rPr>
          <w:rFonts w:asciiTheme="minorHAnsi" w:hAnsiTheme="minorHAnsi" w:cs="Arial"/>
          <w:sz w:val="24"/>
          <w:szCs w:val="24"/>
          <w:lang w:val="en-GB"/>
        </w:rPr>
      </w:pPr>
    </w:p>
    <w:p w14:paraId="376BD685" w14:textId="77777777" w:rsidR="00A0449B" w:rsidRPr="00033C0E" w:rsidRDefault="00033C0E" w:rsidP="00154BED">
      <w:pPr>
        <w:autoSpaceDE w:val="0"/>
        <w:autoSpaceDN w:val="0"/>
        <w:spacing w:after="160"/>
        <w:ind w:left="510" w:right="624"/>
        <w:contextualSpacing/>
        <w:jc w:val="both"/>
        <w:rPr>
          <w:rFonts w:asciiTheme="minorHAnsi" w:hAnsiTheme="minorHAnsi" w:cs="Arial"/>
          <w:b/>
          <w:bCs/>
          <w:sz w:val="24"/>
          <w:szCs w:val="24"/>
        </w:rPr>
      </w:pPr>
      <w:r>
        <w:rPr>
          <w:rFonts w:asciiTheme="minorHAnsi" w:hAnsiTheme="minorHAnsi" w:cs="Arial"/>
          <w:b/>
          <w:bCs/>
          <w:sz w:val="24"/>
          <w:szCs w:val="24"/>
        </w:rPr>
        <w:t xml:space="preserve">Residential merger involving </w:t>
      </w:r>
      <w:proofErr w:type="spellStart"/>
      <w:r>
        <w:rPr>
          <w:rFonts w:asciiTheme="minorHAnsi" w:hAnsiTheme="minorHAnsi" w:cs="Arial"/>
          <w:b/>
          <w:bCs/>
          <w:sz w:val="24"/>
          <w:szCs w:val="24"/>
        </w:rPr>
        <w:t>Indluplace</w:t>
      </w:r>
      <w:proofErr w:type="spellEnd"/>
      <w:r>
        <w:rPr>
          <w:rFonts w:asciiTheme="minorHAnsi" w:hAnsiTheme="minorHAnsi" w:cs="Arial"/>
          <w:b/>
          <w:bCs/>
          <w:sz w:val="24"/>
          <w:szCs w:val="24"/>
        </w:rPr>
        <w:t xml:space="preserve"> Properties and </w:t>
      </w:r>
      <w:r w:rsidR="00C16BE2">
        <w:rPr>
          <w:rFonts w:asciiTheme="minorHAnsi" w:hAnsiTheme="minorHAnsi" w:cs="Arial"/>
          <w:b/>
          <w:bCs/>
          <w:sz w:val="24"/>
          <w:szCs w:val="24"/>
        </w:rPr>
        <w:t xml:space="preserve">a portfolio of companies </w:t>
      </w:r>
      <w:r w:rsidR="00F35355">
        <w:rPr>
          <w:rFonts w:asciiTheme="minorHAnsi" w:hAnsiTheme="minorHAnsi" w:cs="Arial"/>
          <w:b/>
          <w:bCs/>
          <w:sz w:val="24"/>
          <w:szCs w:val="24"/>
        </w:rPr>
        <w:t>approved</w:t>
      </w:r>
    </w:p>
    <w:p w14:paraId="3F1173E0" w14:textId="77777777" w:rsidR="00C16BE2" w:rsidRDefault="00C16BE2" w:rsidP="00154BED">
      <w:pPr>
        <w:spacing w:after="160"/>
        <w:ind w:left="510" w:right="624"/>
        <w:rPr>
          <w:rFonts w:asciiTheme="minorHAnsi" w:hAnsiTheme="minorHAnsi" w:cstheme="minorBidi"/>
        </w:rPr>
      </w:pPr>
    </w:p>
    <w:p w14:paraId="1B971DC3" w14:textId="77777777" w:rsidR="00520447" w:rsidRPr="00520447" w:rsidRDefault="00520447" w:rsidP="00154BED">
      <w:pPr>
        <w:spacing w:after="160"/>
        <w:ind w:left="510" w:right="624"/>
        <w:rPr>
          <w:rFonts w:asciiTheme="minorHAnsi" w:hAnsiTheme="minorHAnsi" w:cstheme="minorBidi"/>
        </w:rPr>
      </w:pPr>
      <w:r w:rsidRPr="00520447">
        <w:rPr>
          <w:rFonts w:asciiTheme="minorHAnsi" w:hAnsiTheme="minorHAnsi" w:cstheme="minorBidi"/>
        </w:rPr>
        <w:t>Tribunal</w:t>
      </w:r>
      <w:r w:rsidR="00C16BE2">
        <w:rPr>
          <w:rFonts w:asciiTheme="minorHAnsi" w:hAnsiTheme="minorHAnsi" w:cstheme="minorBidi"/>
        </w:rPr>
        <w:t xml:space="preserve"> has approved the large </w:t>
      </w:r>
      <w:r w:rsidR="00F35355">
        <w:rPr>
          <w:rFonts w:asciiTheme="minorHAnsi" w:hAnsiTheme="minorHAnsi" w:cstheme="minorBidi"/>
        </w:rPr>
        <w:t xml:space="preserve">merger </w:t>
      </w:r>
      <w:r w:rsidRPr="00520447">
        <w:rPr>
          <w:rFonts w:asciiTheme="minorHAnsi" w:hAnsiTheme="minorHAnsi" w:cstheme="minorBidi"/>
        </w:rPr>
        <w:t xml:space="preserve">without conditions, whereby </w:t>
      </w:r>
      <w:proofErr w:type="spellStart"/>
      <w:r w:rsidRPr="00520447">
        <w:rPr>
          <w:rFonts w:asciiTheme="minorHAnsi" w:hAnsiTheme="minorHAnsi" w:cstheme="minorBidi"/>
        </w:rPr>
        <w:t>Indluplace</w:t>
      </w:r>
      <w:proofErr w:type="spellEnd"/>
      <w:r w:rsidRPr="00520447">
        <w:rPr>
          <w:rFonts w:asciiTheme="minorHAnsi" w:hAnsiTheme="minorHAnsi" w:cstheme="minorBidi"/>
        </w:rPr>
        <w:t xml:space="preserve"> (Pty) Ltd (</w:t>
      </w:r>
      <w:proofErr w:type="spellStart"/>
      <w:r w:rsidRPr="00520447">
        <w:rPr>
          <w:rFonts w:asciiTheme="minorHAnsi" w:hAnsiTheme="minorHAnsi" w:cstheme="minorBidi"/>
        </w:rPr>
        <w:t>Indluplace</w:t>
      </w:r>
      <w:proofErr w:type="spellEnd"/>
      <w:r w:rsidRPr="00520447">
        <w:rPr>
          <w:rFonts w:asciiTheme="minorHAnsi" w:hAnsiTheme="minorHAnsi" w:cstheme="minorBidi"/>
        </w:rPr>
        <w:t xml:space="preserve"> Properties) intends to acquire three portfolios of residential properties owned by a number of trusts, collectively referred to as the Buffet Group.</w:t>
      </w:r>
    </w:p>
    <w:p w14:paraId="0F5D7CF6" w14:textId="77777777" w:rsidR="00520447" w:rsidRPr="00520447" w:rsidRDefault="00520447" w:rsidP="00154BED">
      <w:pPr>
        <w:spacing w:after="160"/>
        <w:ind w:left="510" w:right="624"/>
        <w:rPr>
          <w:rFonts w:asciiTheme="minorHAnsi" w:hAnsiTheme="minorHAnsi" w:cstheme="minorBidi"/>
        </w:rPr>
      </w:pPr>
      <w:proofErr w:type="spellStart"/>
      <w:r w:rsidRPr="00520447">
        <w:rPr>
          <w:rFonts w:asciiTheme="minorHAnsi" w:hAnsiTheme="minorHAnsi" w:cstheme="minorBidi"/>
        </w:rPr>
        <w:lastRenderedPageBreak/>
        <w:t>Indluplace</w:t>
      </w:r>
      <w:proofErr w:type="spellEnd"/>
      <w:r w:rsidRPr="00520447">
        <w:rPr>
          <w:rFonts w:asciiTheme="minorHAnsi" w:hAnsiTheme="minorHAnsi" w:cstheme="minorBidi"/>
        </w:rPr>
        <w:t xml:space="preserve"> Properties is a property investment company which holds a residential property portfolio. It invests in residential properties with a focus on affordable housing generally in larger urban centres close to work opportunities and transport infrastructure in areas such as Johannesburg, Pretoria, Centurion and the East Rand. </w:t>
      </w:r>
    </w:p>
    <w:p w14:paraId="108FA8E9" w14:textId="77777777" w:rsidR="00520447" w:rsidRPr="00520447" w:rsidRDefault="00520447" w:rsidP="00154BED">
      <w:pPr>
        <w:spacing w:after="160"/>
        <w:ind w:left="510" w:right="624"/>
        <w:rPr>
          <w:rFonts w:asciiTheme="minorHAnsi" w:hAnsiTheme="minorHAnsi" w:cstheme="minorBidi"/>
        </w:rPr>
      </w:pPr>
      <w:r w:rsidRPr="00520447">
        <w:rPr>
          <w:rFonts w:asciiTheme="minorHAnsi" w:hAnsiTheme="minorHAnsi" w:cstheme="minorBidi"/>
        </w:rPr>
        <w:t xml:space="preserve">The three portfolios to be purchased comprise of a number of residential properties in the Johannesburg inner city, </w:t>
      </w:r>
      <w:proofErr w:type="spellStart"/>
      <w:r w:rsidRPr="00520447">
        <w:rPr>
          <w:rFonts w:asciiTheme="minorHAnsi" w:hAnsiTheme="minorHAnsi" w:cstheme="minorBidi"/>
        </w:rPr>
        <w:t>Randburg</w:t>
      </w:r>
      <w:proofErr w:type="spellEnd"/>
      <w:r w:rsidRPr="00520447">
        <w:rPr>
          <w:rFonts w:asciiTheme="minorHAnsi" w:hAnsiTheme="minorHAnsi" w:cstheme="minorBidi"/>
        </w:rPr>
        <w:t xml:space="preserve">, Kempton Park, Benoni, Roodepoort, and </w:t>
      </w:r>
      <w:proofErr w:type="spellStart"/>
      <w:r w:rsidRPr="00520447">
        <w:rPr>
          <w:rFonts w:asciiTheme="minorHAnsi" w:hAnsiTheme="minorHAnsi" w:cstheme="minorBidi"/>
        </w:rPr>
        <w:t>Vanderbijlpark</w:t>
      </w:r>
      <w:proofErr w:type="spellEnd"/>
      <w:r w:rsidRPr="00520447">
        <w:rPr>
          <w:rFonts w:asciiTheme="minorHAnsi" w:hAnsiTheme="minorHAnsi" w:cstheme="minorBidi"/>
        </w:rPr>
        <w:t xml:space="preserve"> nodes.  </w:t>
      </w:r>
    </w:p>
    <w:p w14:paraId="724FA751" w14:textId="77777777" w:rsidR="00A83016" w:rsidRDefault="00A83016" w:rsidP="00154BED">
      <w:pPr>
        <w:ind w:left="510" w:right="624"/>
        <w:jc w:val="both"/>
        <w:rPr>
          <w:b/>
          <w:bCs/>
          <w:sz w:val="24"/>
          <w:szCs w:val="24"/>
          <w:lang w:val="en-GB"/>
        </w:rPr>
      </w:pPr>
      <w:r>
        <w:rPr>
          <w:b/>
          <w:bCs/>
          <w:sz w:val="24"/>
          <w:szCs w:val="24"/>
          <w:lang w:val="en-GB"/>
        </w:rPr>
        <w:t>The Tribunal is</w:t>
      </w:r>
      <w:r w:rsidR="00070698">
        <w:rPr>
          <w:b/>
          <w:bCs/>
          <w:sz w:val="24"/>
          <w:szCs w:val="24"/>
          <w:lang w:val="en-GB"/>
        </w:rPr>
        <w:t xml:space="preserve"> </w:t>
      </w:r>
      <w:proofErr w:type="spellStart"/>
      <w:r w:rsidR="00070698">
        <w:rPr>
          <w:b/>
          <w:bCs/>
          <w:sz w:val="24"/>
          <w:szCs w:val="24"/>
          <w:lang w:val="en-GB"/>
        </w:rPr>
        <w:t>stilol</w:t>
      </w:r>
      <w:proofErr w:type="spellEnd"/>
      <w:r>
        <w:rPr>
          <w:b/>
          <w:bCs/>
          <w:sz w:val="24"/>
          <w:szCs w:val="24"/>
          <w:lang w:val="en-GB"/>
        </w:rPr>
        <w:t xml:space="preserve"> considering a Unilever application to order Commission to supply further documents </w:t>
      </w:r>
    </w:p>
    <w:p w14:paraId="74D2C2DD" w14:textId="77777777" w:rsidR="00A83016" w:rsidRDefault="00A83016" w:rsidP="00154BED">
      <w:pPr>
        <w:ind w:left="510" w:right="624"/>
        <w:jc w:val="both"/>
      </w:pPr>
      <w:r>
        <w:rPr>
          <w:sz w:val="24"/>
          <w:szCs w:val="24"/>
          <w:lang w:val="en-GB"/>
        </w:rPr>
        <w:t> </w:t>
      </w:r>
    </w:p>
    <w:p w14:paraId="548A7C9D" w14:textId="77777777" w:rsidR="00A83016" w:rsidRDefault="00A83016" w:rsidP="00154BED">
      <w:pPr>
        <w:ind w:left="510" w:right="624"/>
        <w:jc w:val="both"/>
      </w:pPr>
      <w:r>
        <w:rPr>
          <w:sz w:val="24"/>
          <w:szCs w:val="24"/>
          <w:lang w:val="en-GB"/>
        </w:rPr>
        <w:t xml:space="preserve">Unilever on Wednesday asked Tribunal for an order compelling the Competition Commission to file a supplementary affidavit to clarify a number of points contained in its original complaint alleging collusion and dividing markets for edible fats and oils. The Tribunal is still considering the application. </w:t>
      </w:r>
    </w:p>
    <w:p w14:paraId="5FDB7544" w14:textId="77777777" w:rsidR="00A83016" w:rsidRDefault="00A83016" w:rsidP="00154BED">
      <w:pPr>
        <w:ind w:left="510" w:right="624"/>
        <w:jc w:val="both"/>
      </w:pPr>
      <w:r>
        <w:rPr>
          <w:sz w:val="24"/>
          <w:szCs w:val="24"/>
          <w:lang w:val="en-GB"/>
        </w:rPr>
        <w:t> </w:t>
      </w:r>
    </w:p>
    <w:p w14:paraId="012E9091" w14:textId="77777777" w:rsidR="00A83016" w:rsidRDefault="00A83016" w:rsidP="00154BED">
      <w:pPr>
        <w:ind w:left="510" w:right="624"/>
        <w:jc w:val="both"/>
      </w:pPr>
      <w:r>
        <w:rPr>
          <w:sz w:val="24"/>
          <w:szCs w:val="24"/>
        </w:rPr>
        <w:t xml:space="preserve">The Commission alleges that from 2005-2013, Unilever and Sime Darby Hudson Knight (Pty) Ltd (“Sime Darby”), as firms in a horizontal relationship, had a ‘general agreement’ not to compete with one another in the manufacture and supply of edible fats and oils. This was done through various agreements wherein the respondents agreed to divide markets by allocating goods and customers between themselves, contravening section 4(1)(b)(ii) of the Act. </w:t>
      </w:r>
    </w:p>
    <w:p w14:paraId="726CBC80" w14:textId="77777777" w:rsidR="00A83016" w:rsidRDefault="00A83016" w:rsidP="00154BED">
      <w:pPr>
        <w:ind w:left="510" w:right="624"/>
        <w:jc w:val="both"/>
      </w:pPr>
      <w:r>
        <w:rPr>
          <w:sz w:val="24"/>
          <w:szCs w:val="24"/>
        </w:rPr>
        <w:t> </w:t>
      </w:r>
    </w:p>
    <w:p w14:paraId="508872AF" w14:textId="77777777" w:rsidR="00A83016" w:rsidRDefault="00A83016" w:rsidP="00154BED">
      <w:pPr>
        <w:ind w:left="510" w:right="624"/>
        <w:jc w:val="both"/>
      </w:pPr>
      <w:r>
        <w:rPr>
          <w:sz w:val="24"/>
          <w:szCs w:val="24"/>
        </w:rPr>
        <w:t xml:space="preserve">One of the </w:t>
      </w:r>
      <w:proofErr w:type="gramStart"/>
      <w:r>
        <w:rPr>
          <w:sz w:val="24"/>
          <w:szCs w:val="24"/>
        </w:rPr>
        <w:t>agreement</w:t>
      </w:r>
      <w:proofErr w:type="gramEnd"/>
      <w:r>
        <w:rPr>
          <w:sz w:val="24"/>
          <w:szCs w:val="24"/>
        </w:rPr>
        <w:t xml:space="preserve"> was a Sale of Business agreement when Unilever sold its refinery business to the now Sime Darby. A non-compete clause was included in the agreement relating to the distribution channels of various products, and this was later amended when Unilever sold two companies to Sime Darby with a clause aiming to  white fats and adjusting pack sizes on the list of products. </w:t>
      </w:r>
    </w:p>
    <w:p w14:paraId="1DA49671" w14:textId="77777777" w:rsidR="00A83016" w:rsidRDefault="00A83016" w:rsidP="00154BED">
      <w:pPr>
        <w:ind w:left="510" w:right="624"/>
        <w:jc w:val="both"/>
      </w:pPr>
      <w:r>
        <w:rPr>
          <w:sz w:val="24"/>
          <w:szCs w:val="24"/>
        </w:rPr>
        <w:t> </w:t>
      </w:r>
    </w:p>
    <w:p w14:paraId="4E2C31FC" w14:textId="77777777" w:rsidR="00A83016" w:rsidRDefault="00A83016" w:rsidP="00154BED">
      <w:pPr>
        <w:ind w:left="510" w:right="624"/>
        <w:jc w:val="both"/>
        <w:rPr>
          <w:sz w:val="24"/>
          <w:szCs w:val="24"/>
        </w:rPr>
      </w:pPr>
      <w:r>
        <w:rPr>
          <w:sz w:val="24"/>
          <w:szCs w:val="24"/>
        </w:rPr>
        <w:t>Unilever in its exception application submitted that the Commission’s referral is vague and embarrassing on a number of grounds including whether the agreement the Commission alleges to be the subject of the anti-competitive conduct is the sale of business agreement or a separate agreement.</w:t>
      </w:r>
    </w:p>
    <w:p w14:paraId="10866E96" w14:textId="77777777" w:rsidR="00A83016" w:rsidRDefault="00A83016" w:rsidP="00154BED">
      <w:pPr>
        <w:ind w:left="510" w:right="624"/>
        <w:jc w:val="both"/>
      </w:pPr>
    </w:p>
    <w:p w14:paraId="104D2266" w14:textId="77777777" w:rsidR="00A83016" w:rsidRDefault="00A83016" w:rsidP="00154BED">
      <w:pPr>
        <w:ind w:left="510" w:right="624"/>
        <w:jc w:val="both"/>
        <w:rPr>
          <w:sz w:val="24"/>
          <w:szCs w:val="24"/>
        </w:rPr>
      </w:pPr>
      <w:r>
        <w:rPr>
          <w:sz w:val="24"/>
          <w:szCs w:val="24"/>
        </w:rPr>
        <w:t>Unilever says it is unable to make out a case and is unable to plead the referral as it would be gravely prejudiced if it attempted to do so.</w:t>
      </w:r>
    </w:p>
    <w:p w14:paraId="7A2D557A" w14:textId="77777777" w:rsidR="00982076" w:rsidRDefault="00982076" w:rsidP="00154BED">
      <w:pPr>
        <w:ind w:left="510" w:right="624"/>
        <w:jc w:val="both"/>
        <w:rPr>
          <w:sz w:val="24"/>
          <w:szCs w:val="24"/>
        </w:rPr>
      </w:pPr>
    </w:p>
    <w:p w14:paraId="383532E4" w14:textId="77777777" w:rsidR="00982076" w:rsidRDefault="00982076" w:rsidP="00154BED">
      <w:pPr>
        <w:ind w:left="510" w:right="624"/>
        <w:jc w:val="both"/>
      </w:pPr>
      <w:r>
        <w:rPr>
          <w:color w:val="000000"/>
        </w:rPr>
        <w:t xml:space="preserve">Issued by: </w:t>
      </w:r>
    </w:p>
    <w:p w14:paraId="6BEE1B2F" w14:textId="77777777" w:rsidR="00982076" w:rsidRDefault="00982076" w:rsidP="00154BED">
      <w:pPr>
        <w:ind w:left="510" w:right="624"/>
        <w:jc w:val="both"/>
      </w:pPr>
      <w:r>
        <w:rPr>
          <w:color w:val="000000"/>
        </w:rPr>
        <w:t xml:space="preserve">Chantelle Benjamin </w:t>
      </w:r>
    </w:p>
    <w:p w14:paraId="2895C96B" w14:textId="77777777" w:rsidR="00982076" w:rsidRDefault="00982076" w:rsidP="00154BED">
      <w:pPr>
        <w:ind w:left="510" w:right="624"/>
        <w:jc w:val="both"/>
      </w:pPr>
      <w:r>
        <w:rPr>
          <w:color w:val="000000"/>
        </w:rPr>
        <w:t>Communications: Competition Tribunal   </w:t>
      </w:r>
    </w:p>
    <w:p w14:paraId="155CE4B7" w14:textId="77777777" w:rsidR="00982076" w:rsidRDefault="00982076" w:rsidP="00154BED">
      <w:pPr>
        <w:ind w:left="510" w:right="624"/>
        <w:jc w:val="both"/>
      </w:pPr>
      <w:r>
        <w:rPr>
          <w:color w:val="000000"/>
        </w:rPr>
        <w:t xml:space="preserve">Tel (012)394 1383                                      </w:t>
      </w:r>
    </w:p>
    <w:p w14:paraId="27BF07F7" w14:textId="77777777" w:rsidR="00982076" w:rsidRDefault="00982076" w:rsidP="00154BED">
      <w:pPr>
        <w:ind w:left="510" w:right="624"/>
        <w:jc w:val="both"/>
      </w:pPr>
      <w:r>
        <w:rPr>
          <w:color w:val="000000"/>
        </w:rPr>
        <w:t>Cell: +27 (0) 73 007 5603  </w:t>
      </w:r>
    </w:p>
    <w:p w14:paraId="66A14D25" w14:textId="77777777" w:rsidR="00982076" w:rsidRDefault="00982076" w:rsidP="00154BED">
      <w:pPr>
        <w:ind w:left="510" w:right="624"/>
        <w:jc w:val="both"/>
      </w:pPr>
      <w:r>
        <w:rPr>
          <w:color w:val="000000"/>
        </w:rPr>
        <w:t xml:space="preserve">Twitter: @comptrib                                        </w:t>
      </w:r>
    </w:p>
    <w:p w14:paraId="55196A0B" w14:textId="77777777" w:rsidR="00982076" w:rsidRDefault="00982076" w:rsidP="00154BED">
      <w:pPr>
        <w:ind w:left="510" w:right="624"/>
        <w:jc w:val="both"/>
      </w:pPr>
      <w:r>
        <w:rPr>
          <w:color w:val="000000"/>
        </w:rPr>
        <w:t xml:space="preserve">E-Mail: </w:t>
      </w:r>
      <w:hyperlink r:id="rId8" w:history="1">
        <w:r>
          <w:rPr>
            <w:rStyle w:val="Hyperlink"/>
          </w:rPr>
          <w:t>chantelleb@comptrib.co.za</w:t>
        </w:r>
      </w:hyperlink>
      <w:r>
        <w:rPr>
          <w:lang w:val="en-US"/>
        </w:rPr>
        <w:t xml:space="preserve"> </w:t>
      </w:r>
    </w:p>
    <w:p w14:paraId="4B060D86" w14:textId="77777777" w:rsidR="00982076" w:rsidRDefault="00982076" w:rsidP="00154BED">
      <w:pPr>
        <w:ind w:left="510" w:right="624"/>
        <w:jc w:val="both"/>
      </w:pPr>
      <w:r>
        <w:rPr>
          <w:color w:val="000000"/>
        </w:rPr>
        <w:t> </w:t>
      </w:r>
    </w:p>
    <w:p w14:paraId="4241AC3D" w14:textId="77777777" w:rsidR="00982076" w:rsidRDefault="00982076" w:rsidP="00154BED">
      <w:pPr>
        <w:ind w:left="510" w:right="624"/>
        <w:jc w:val="both"/>
      </w:pPr>
      <w:r>
        <w:rPr>
          <w:color w:val="000000"/>
        </w:rPr>
        <w:t> </w:t>
      </w:r>
    </w:p>
    <w:p w14:paraId="6C7982D7" w14:textId="77777777" w:rsidR="00982076" w:rsidRDefault="00982076" w:rsidP="00154BED">
      <w:pPr>
        <w:ind w:left="510" w:right="624"/>
        <w:jc w:val="both"/>
      </w:pPr>
      <w:r>
        <w:rPr>
          <w:color w:val="000000"/>
        </w:rPr>
        <w:t>On Behalf Of:</w:t>
      </w:r>
    </w:p>
    <w:p w14:paraId="0C9D546A" w14:textId="77777777" w:rsidR="00982076" w:rsidRDefault="00982076" w:rsidP="00154BED">
      <w:pPr>
        <w:ind w:left="510" w:right="624"/>
        <w:jc w:val="both"/>
      </w:pPr>
      <w:r>
        <w:rPr>
          <w:color w:val="000000"/>
        </w:rPr>
        <w:t>Lerato Motaung                                                   </w:t>
      </w:r>
    </w:p>
    <w:p w14:paraId="0ABC25FA" w14:textId="77777777" w:rsidR="00982076" w:rsidRDefault="00982076" w:rsidP="00154BED">
      <w:pPr>
        <w:ind w:left="510" w:right="624"/>
        <w:jc w:val="both"/>
      </w:pPr>
      <w:r>
        <w:rPr>
          <w:color w:val="000000"/>
        </w:rPr>
        <w:t xml:space="preserve">Registrar: Competition Tribunal                                         </w:t>
      </w:r>
    </w:p>
    <w:p w14:paraId="6F099586" w14:textId="77777777" w:rsidR="00982076" w:rsidRDefault="00982076" w:rsidP="00154BED">
      <w:pPr>
        <w:ind w:left="510" w:right="624"/>
        <w:jc w:val="both"/>
      </w:pPr>
      <w:r>
        <w:rPr>
          <w:color w:val="000000"/>
        </w:rPr>
        <w:lastRenderedPageBreak/>
        <w:t xml:space="preserve">Tel: (012) 394 3355                                              </w:t>
      </w:r>
    </w:p>
    <w:p w14:paraId="5DBA2E3D" w14:textId="77777777" w:rsidR="00982076" w:rsidRDefault="00982076" w:rsidP="00154BED">
      <w:pPr>
        <w:ind w:left="510" w:right="624"/>
        <w:jc w:val="both"/>
      </w:pPr>
      <w:r>
        <w:rPr>
          <w:color w:val="000000"/>
        </w:rPr>
        <w:t xml:space="preserve">Cell: +27 (0) 82 556 3221                                               </w:t>
      </w:r>
    </w:p>
    <w:p w14:paraId="4A8CBE0A" w14:textId="77777777" w:rsidR="00982076" w:rsidRDefault="00F35355" w:rsidP="00154BED">
      <w:pPr>
        <w:ind w:left="510" w:right="624"/>
      </w:pPr>
      <w:r>
        <w:rPr>
          <w:color w:val="000000"/>
        </w:rPr>
        <w:t> </w:t>
      </w:r>
      <w:r w:rsidR="00982076">
        <w:rPr>
          <w:color w:val="000000"/>
        </w:rPr>
        <w:t xml:space="preserve">E-Mail: </w:t>
      </w:r>
      <w:hyperlink r:id="rId9" w:history="1">
        <w:r w:rsidR="00982076">
          <w:rPr>
            <w:rStyle w:val="Hyperlink"/>
          </w:rPr>
          <w:t>LeratoM@comptrib.co.za</w:t>
        </w:r>
      </w:hyperlink>
    </w:p>
    <w:p w14:paraId="14636458" w14:textId="77777777" w:rsidR="00982076" w:rsidRDefault="00982076" w:rsidP="00A83016">
      <w:pPr>
        <w:spacing w:line="276" w:lineRule="auto"/>
        <w:ind w:left="851" w:right="851"/>
        <w:jc w:val="both"/>
      </w:pPr>
    </w:p>
    <w:p w14:paraId="440D4E39" w14:textId="77777777" w:rsidR="00A83016" w:rsidRDefault="00A83016" w:rsidP="00A83016">
      <w:r>
        <w:t> </w:t>
      </w:r>
    </w:p>
    <w:p w14:paraId="4D7EBAC5" w14:textId="77777777" w:rsidR="00A83016" w:rsidRDefault="00A83016" w:rsidP="00033C0E">
      <w:pPr>
        <w:tabs>
          <w:tab w:val="left" w:pos="1725"/>
        </w:tabs>
        <w:spacing w:line="276" w:lineRule="auto"/>
        <w:jc w:val="both"/>
        <w:rPr>
          <w:rFonts w:asciiTheme="minorHAnsi" w:hAnsiTheme="minorHAnsi" w:cs="Arial"/>
          <w:sz w:val="24"/>
          <w:szCs w:val="24"/>
        </w:rPr>
      </w:pPr>
    </w:p>
    <w:p w14:paraId="11CFFE25" w14:textId="77777777" w:rsidR="00672EB6" w:rsidRDefault="00672EB6" w:rsidP="00033C0E">
      <w:pPr>
        <w:tabs>
          <w:tab w:val="left" w:pos="1725"/>
        </w:tabs>
        <w:spacing w:line="276" w:lineRule="auto"/>
        <w:jc w:val="both"/>
        <w:rPr>
          <w:rFonts w:asciiTheme="minorHAnsi" w:hAnsiTheme="minorHAnsi" w:cs="Arial"/>
          <w:sz w:val="24"/>
          <w:szCs w:val="24"/>
        </w:rPr>
      </w:pPr>
    </w:p>
    <w:p w14:paraId="73559E77" w14:textId="77777777" w:rsidR="00672EB6" w:rsidRPr="00672EB6" w:rsidRDefault="00672EB6" w:rsidP="00672EB6">
      <w:pPr>
        <w:jc w:val="both"/>
        <w:rPr>
          <w:rFonts w:asciiTheme="minorHAnsi" w:hAnsiTheme="minorHAnsi" w:cs="Arial"/>
          <w:sz w:val="24"/>
          <w:szCs w:val="24"/>
        </w:rPr>
      </w:pPr>
    </w:p>
    <w:p w14:paraId="36AD30F2" w14:textId="77777777" w:rsidR="00C16BE2" w:rsidRDefault="00C16BE2" w:rsidP="00C16BE2">
      <w:pPr>
        <w:tabs>
          <w:tab w:val="left" w:pos="1725"/>
        </w:tabs>
        <w:jc w:val="both"/>
        <w:rPr>
          <w:rFonts w:asciiTheme="minorHAnsi" w:hAnsiTheme="minorHAnsi" w:cs="Arial"/>
          <w:sz w:val="24"/>
          <w:szCs w:val="24"/>
        </w:rPr>
      </w:pPr>
    </w:p>
    <w:p w14:paraId="2D3B752E" w14:textId="77777777" w:rsidR="00561751" w:rsidRDefault="00561751" w:rsidP="00BC76F9">
      <w:pPr>
        <w:rPr>
          <w:rFonts w:ascii="Arial" w:hAnsi="Arial" w:cs="Arial"/>
        </w:rPr>
      </w:pPr>
    </w:p>
    <w:p w14:paraId="5D0B2134" w14:textId="77777777" w:rsidR="00A0449B" w:rsidRDefault="00A0449B" w:rsidP="00A0449B">
      <w:pPr>
        <w:pStyle w:val="ListParagraph"/>
        <w:tabs>
          <w:tab w:val="left" w:pos="1725"/>
        </w:tabs>
        <w:spacing w:after="0" w:line="360" w:lineRule="auto"/>
        <w:jc w:val="both"/>
        <w:rPr>
          <w:rFonts w:ascii="Arial" w:hAnsi="Arial" w:cs="Arial"/>
          <w:sz w:val="24"/>
          <w:szCs w:val="24"/>
        </w:rPr>
      </w:pPr>
    </w:p>
    <w:p w14:paraId="0F05AA46" w14:textId="77777777" w:rsidR="00A0449B" w:rsidRDefault="00A0449B" w:rsidP="00A0449B">
      <w:pPr>
        <w:spacing w:line="276" w:lineRule="auto"/>
        <w:jc w:val="both"/>
        <w:rPr>
          <w:rFonts w:ascii="Arial" w:hAnsi="Arial" w:cs="Arial"/>
          <w:lang w:val="en-GB"/>
        </w:rPr>
      </w:pPr>
    </w:p>
    <w:p w14:paraId="676205DC" w14:textId="77777777" w:rsidR="00A0449B" w:rsidRDefault="00A0449B"/>
    <w:p w14:paraId="3687BF3C" w14:textId="77777777" w:rsidR="00A0449B" w:rsidRDefault="00A0449B"/>
    <w:sectPr w:rsidR="00A044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B6291" w14:textId="77777777" w:rsidR="005703D2" w:rsidRDefault="005703D2" w:rsidP="00A0449B">
      <w:r>
        <w:separator/>
      </w:r>
    </w:p>
  </w:endnote>
  <w:endnote w:type="continuationSeparator" w:id="0">
    <w:p w14:paraId="5EB1F89A" w14:textId="77777777" w:rsidR="005703D2" w:rsidRDefault="005703D2" w:rsidP="00A0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5E58E" w14:textId="77777777" w:rsidR="005703D2" w:rsidRDefault="005703D2" w:rsidP="00A0449B">
      <w:r>
        <w:separator/>
      </w:r>
    </w:p>
  </w:footnote>
  <w:footnote w:type="continuationSeparator" w:id="0">
    <w:p w14:paraId="0F232F76" w14:textId="77777777" w:rsidR="005703D2" w:rsidRDefault="005703D2" w:rsidP="00A04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22143"/>
    <w:multiLevelType w:val="hybridMultilevel"/>
    <w:tmpl w:val="644AEB9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6B2771A"/>
    <w:multiLevelType w:val="hybridMultilevel"/>
    <w:tmpl w:val="4B94BB6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386D75C3"/>
    <w:multiLevelType w:val="hybridMultilevel"/>
    <w:tmpl w:val="338CF9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47B353C3"/>
    <w:multiLevelType w:val="hybridMultilevel"/>
    <w:tmpl w:val="32E6FB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B720805"/>
    <w:multiLevelType w:val="hybridMultilevel"/>
    <w:tmpl w:val="E95E5BC8"/>
    <w:lvl w:ilvl="0" w:tplc="99E0B24C">
      <w:start w:val="1"/>
      <w:numFmt w:val="decimal"/>
      <w:lvlText w:val="%1."/>
      <w:lvlJc w:val="left"/>
      <w:pPr>
        <w:ind w:left="360" w:hanging="360"/>
      </w:pPr>
      <w:rPr>
        <w:rFonts w:ascii="Arial" w:eastAsiaTheme="minorHAnsi" w:hAnsi="Arial" w:cs="Arial"/>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4E9026F8"/>
    <w:multiLevelType w:val="multilevel"/>
    <w:tmpl w:val="492213FE"/>
    <w:lvl w:ilvl="0">
      <w:start w:val="1"/>
      <w:numFmt w:val="decimal"/>
      <w:lvlText w:val="%1"/>
      <w:lvlJc w:val="left"/>
      <w:pPr>
        <w:ind w:left="390" w:hanging="390"/>
      </w:pPr>
      <w:rPr>
        <w:rFonts w:ascii="Arial" w:hAnsi="Arial" w:cs="Times New Roman" w:hint="default"/>
        <w:b/>
        <w:sz w:val="22"/>
      </w:rPr>
    </w:lvl>
    <w:lvl w:ilvl="1">
      <w:start w:val="1"/>
      <w:numFmt w:val="decimal"/>
      <w:lvlText w:val="%1.%2"/>
      <w:lvlJc w:val="left"/>
      <w:pPr>
        <w:ind w:left="390" w:hanging="390"/>
      </w:pPr>
      <w:rPr>
        <w:rFonts w:ascii="Arial" w:hAnsi="Arial" w:cs="Times New Roman" w:hint="default"/>
        <w:b/>
        <w:sz w:val="22"/>
      </w:rPr>
    </w:lvl>
    <w:lvl w:ilvl="2">
      <w:start w:val="1"/>
      <w:numFmt w:val="decimal"/>
      <w:lvlText w:val="%1.%2.%3"/>
      <w:lvlJc w:val="left"/>
      <w:pPr>
        <w:ind w:left="720" w:hanging="720"/>
      </w:pPr>
      <w:rPr>
        <w:rFonts w:ascii="Arial" w:hAnsi="Arial" w:cs="Times New Roman" w:hint="default"/>
        <w:b/>
        <w:sz w:val="22"/>
      </w:rPr>
    </w:lvl>
    <w:lvl w:ilvl="3">
      <w:start w:val="1"/>
      <w:numFmt w:val="decimal"/>
      <w:lvlText w:val="%1.%2.%3.%4"/>
      <w:lvlJc w:val="left"/>
      <w:pPr>
        <w:ind w:left="720" w:hanging="720"/>
      </w:pPr>
      <w:rPr>
        <w:rFonts w:ascii="Arial" w:hAnsi="Arial" w:cs="Times New Roman" w:hint="default"/>
        <w:b/>
        <w:sz w:val="22"/>
      </w:rPr>
    </w:lvl>
    <w:lvl w:ilvl="4">
      <w:start w:val="1"/>
      <w:numFmt w:val="decimal"/>
      <w:lvlText w:val="%1.%2.%3.%4.%5"/>
      <w:lvlJc w:val="left"/>
      <w:pPr>
        <w:ind w:left="1080" w:hanging="1080"/>
      </w:pPr>
      <w:rPr>
        <w:rFonts w:ascii="Arial" w:hAnsi="Arial" w:cs="Times New Roman" w:hint="default"/>
        <w:b/>
        <w:sz w:val="22"/>
      </w:rPr>
    </w:lvl>
    <w:lvl w:ilvl="5">
      <w:start w:val="1"/>
      <w:numFmt w:val="decimal"/>
      <w:lvlText w:val="%1.%2.%3.%4.%5.%6"/>
      <w:lvlJc w:val="left"/>
      <w:pPr>
        <w:ind w:left="1080" w:hanging="1080"/>
      </w:pPr>
      <w:rPr>
        <w:rFonts w:ascii="Arial" w:hAnsi="Arial" w:cs="Times New Roman" w:hint="default"/>
        <w:b/>
        <w:sz w:val="22"/>
      </w:rPr>
    </w:lvl>
    <w:lvl w:ilvl="6">
      <w:start w:val="1"/>
      <w:numFmt w:val="decimal"/>
      <w:lvlText w:val="%1.%2.%3.%4.%5.%6.%7"/>
      <w:lvlJc w:val="left"/>
      <w:pPr>
        <w:ind w:left="1440" w:hanging="1440"/>
      </w:pPr>
      <w:rPr>
        <w:rFonts w:ascii="Arial" w:hAnsi="Arial" w:cs="Times New Roman" w:hint="default"/>
        <w:b/>
        <w:sz w:val="22"/>
      </w:rPr>
    </w:lvl>
    <w:lvl w:ilvl="7">
      <w:start w:val="1"/>
      <w:numFmt w:val="decimal"/>
      <w:lvlText w:val="%1.%2.%3.%4.%5.%6.%7.%8"/>
      <w:lvlJc w:val="left"/>
      <w:pPr>
        <w:ind w:left="1440" w:hanging="1440"/>
      </w:pPr>
      <w:rPr>
        <w:rFonts w:ascii="Arial" w:hAnsi="Arial" w:cs="Times New Roman" w:hint="default"/>
        <w:b/>
        <w:sz w:val="22"/>
      </w:rPr>
    </w:lvl>
    <w:lvl w:ilvl="8">
      <w:start w:val="1"/>
      <w:numFmt w:val="decimal"/>
      <w:lvlText w:val="%1.%2.%3.%4.%5.%6.%7.%8.%9"/>
      <w:lvlJc w:val="left"/>
      <w:pPr>
        <w:ind w:left="1800" w:hanging="1800"/>
      </w:pPr>
      <w:rPr>
        <w:rFonts w:ascii="Arial" w:hAnsi="Arial" w:cs="Times New Roman" w:hint="default"/>
        <w:b/>
        <w:sz w:val="22"/>
      </w:rPr>
    </w:lvl>
  </w:abstractNum>
  <w:abstractNum w:abstractNumId="6" w15:restartNumberingAfterBreak="0">
    <w:nsid w:val="6AEE6BA6"/>
    <w:multiLevelType w:val="hybridMultilevel"/>
    <w:tmpl w:val="002299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C3F6FA5"/>
    <w:multiLevelType w:val="hybridMultilevel"/>
    <w:tmpl w:val="C3CE2F40"/>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1"/>
  </w:num>
  <w:num w:numId="5">
    <w:abstractNumId w:val="0"/>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49B"/>
    <w:rsid w:val="00033C0E"/>
    <w:rsid w:val="00070698"/>
    <w:rsid w:val="000F5641"/>
    <w:rsid w:val="00154BED"/>
    <w:rsid w:val="001F00BC"/>
    <w:rsid w:val="003C165A"/>
    <w:rsid w:val="00482491"/>
    <w:rsid w:val="00520447"/>
    <w:rsid w:val="00561751"/>
    <w:rsid w:val="005703D2"/>
    <w:rsid w:val="00672EB6"/>
    <w:rsid w:val="0079743E"/>
    <w:rsid w:val="007B44BA"/>
    <w:rsid w:val="00967EC1"/>
    <w:rsid w:val="00982076"/>
    <w:rsid w:val="00A0449B"/>
    <w:rsid w:val="00A83016"/>
    <w:rsid w:val="00B427E4"/>
    <w:rsid w:val="00BC76F9"/>
    <w:rsid w:val="00C16BE2"/>
    <w:rsid w:val="00C959EE"/>
    <w:rsid w:val="00F35355"/>
    <w:rsid w:val="00F372E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CE33"/>
  <w15:chartTrackingRefBased/>
  <w15:docId w15:val="{9170D249-A920-4DD4-BD7E-D90FE4B2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49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49B"/>
    <w:pPr>
      <w:spacing w:after="160" w:line="259" w:lineRule="auto"/>
      <w:ind w:left="720"/>
      <w:contextualSpacing/>
    </w:pPr>
    <w:rPr>
      <w:rFonts w:asciiTheme="minorHAnsi" w:hAnsiTheme="minorHAnsi" w:cstheme="minorBidi"/>
    </w:rPr>
  </w:style>
  <w:style w:type="paragraph" w:styleId="FootnoteText">
    <w:name w:val="footnote text"/>
    <w:basedOn w:val="Normal"/>
    <w:link w:val="FootnoteTextChar"/>
    <w:uiPriority w:val="99"/>
    <w:semiHidden/>
    <w:unhideWhenUsed/>
    <w:rsid w:val="00A0449B"/>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0449B"/>
    <w:rPr>
      <w:sz w:val="20"/>
      <w:szCs w:val="20"/>
    </w:rPr>
  </w:style>
  <w:style w:type="character" w:styleId="FootnoteReference">
    <w:name w:val="footnote reference"/>
    <w:basedOn w:val="DefaultParagraphFont"/>
    <w:uiPriority w:val="99"/>
    <w:semiHidden/>
    <w:unhideWhenUsed/>
    <w:rsid w:val="00A0449B"/>
    <w:rPr>
      <w:vertAlign w:val="superscript"/>
    </w:rPr>
  </w:style>
  <w:style w:type="table" w:styleId="TableGrid">
    <w:name w:val="Table Grid"/>
    <w:basedOn w:val="TableNormal"/>
    <w:uiPriority w:val="59"/>
    <w:rsid w:val="00520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82076"/>
    <w:rPr>
      <w:color w:val="0563C1"/>
      <w:u w:val="single"/>
    </w:rPr>
  </w:style>
  <w:style w:type="paragraph" w:styleId="BalloonText">
    <w:name w:val="Balloon Text"/>
    <w:basedOn w:val="Normal"/>
    <w:link w:val="BalloonTextChar"/>
    <w:uiPriority w:val="99"/>
    <w:semiHidden/>
    <w:unhideWhenUsed/>
    <w:rsid w:val="00967E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E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04846">
      <w:bodyDiv w:val="1"/>
      <w:marLeft w:val="0"/>
      <w:marRight w:val="0"/>
      <w:marTop w:val="0"/>
      <w:marBottom w:val="0"/>
      <w:divBdr>
        <w:top w:val="none" w:sz="0" w:space="0" w:color="auto"/>
        <w:left w:val="none" w:sz="0" w:space="0" w:color="auto"/>
        <w:bottom w:val="none" w:sz="0" w:space="0" w:color="auto"/>
        <w:right w:val="none" w:sz="0" w:space="0" w:color="auto"/>
      </w:divBdr>
    </w:div>
    <w:div w:id="396050834">
      <w:bodyDiv w:val="1"/>
      <w:marLeft w:val="0"/>
      <w:marRight w:val="0"/>
      <w:marTop w:val="0"/>
      <w:marBottom w:val="0"/>
      <w:divBdr>
        <w:top w:val="none" w:sz="0" w:space="0" w:color="auto"/>
        <w:left w:val="none" w:sz="0" w:space="0" w:color="auto"/>
        <w:bottom w:val="none" w:sz="0" w:space="0" w:color="auto"/>
        <w:right w:val="none" w:sz="0" w:space="0" w:color="auto"/>
      </w:divBdr>
    </w:div>
    <w:div w:id="641540902">
      <w:bodyDiv w:val="1"/>
      <w:marLeft w:val="0"/>
      <w:marRight w:val="0"/>
      <w:marTop w:val="0"/>
      <w:marBottom w:val="0"/>
      <w:divBdr>
        <w:top w:val="none" w:sz="0" w:space="0" w:color="auto"/>
        <w:left w:val="none" w:sz="0" w:space="0" w:color="auto"/>
        <w:bottom w:val="none" w:sz="0" w:space="0" w:color="auto"/>
        <w:right w:val="none" w:sz="0" w:space="0" w:color="auto"/>
      </w:divBdr>
    </w:div>
    <w:div w:id="855121846">
      <w:bodyDiv w:val="1"/>
      <w:marLeft w:val="0"/>
      <w:marRight w:val="0"/>
      <w:marTop w:val="0"/>
      <w:marBottom w:val="0"/>
      <w:divBdr>
        <w:top w:val="none" w:sz="0" w:space="0" w:color="auto"/>
        <w:left w:val="none" w:sz="0" w:space="0" w:color="auto"/>
        <w:bottom w:val="none" w:sz="0" w:space="0" w:color="auto"/>
        <w:right w:val="none" w:sz="0" w:space="0" w:color="auto"/>
      </w:divBdr>
    </w:div>
    <w:div w:id="1507817053">
      <w:bodyDiv w:val="1"/>
      <w:marLeft w:val="0"/>
      <w:marRight w:val="0"/>
      <w:marTop w:val="0"/>
      <w:marBottom w:val="0"/>
      <w:divBdr>
        <w:top w:val="none" w:sz="0" w:space="0" w:color="auto"/>
        <w:left w:val="none" w:sz="0" w:space="0" w:color="auto"/>
        <w:bottom w:val="none" w:sz="0" w:space="0" w:color="auto"/>
        <w:right w:val="none" w:sz="0" w:space="0" w:color="auto"/>
      </w:divBdr>
    </w:div>
    <w:div w:id="181386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istairV\AppData\Local\Microsoft\Windows\Temporary%20Internet%20Files\Content.Outlook\HMBET88G\chantelleb@comptrib.co.za"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ratoM@comptrib.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1290</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2019-04-24T18:33:00Z</dcterms:created>
  <dcterms:modified xsi:type="dcterms:W3CDTF">2019-04-24T18:33:00Z</dcterms:modified>
</cp:coreProperties>
</file>